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48EDD" w14:textId="30DE70CF" w:rsidR="009F43A2" w:rsidRPr="000A64D8" w:rsidRDefault="009F43A2" w:rsidP="009F43A2">
      <w:pPr>
        <w:tabs>
          <w:tab w:val="right" w:pos="10000"/>
        </w:tabs>
        <w:spacing w:after="0"/>
        <w:jc w:val="both"/>
        <w:rPr>
          <w:rFonts w:ascii="Arial" w:hAnsi="Arial" w:cs="Arial"/>
          <w:b/>
          <w:sz w:val="24"/>
          <w:szCs w:val="24"/>
        </w:rPr>
      </w:pPr>
      <w:r>
        <w:rPr>
          <w:rFonts w:ascii="Arial" w:hAnsi="Arial" w:cs="Arial"/>
          <w:b/>
          <w:bCs/>
          <w:sz w:val="24"/>
          <w:szCs w:val="24"/>
        </w:rPr>
        <w:t>3GPP TSG RAN WG1 NR Ad-Hoc #3</w:t>
      </w:r>
      <w:r w:rsidRPr="000A64D8">
        <w:rPr>
          <w:rFonts w:ascii="Arial" w:hAnsi="Arial" w:cs="Arial"/>
          <w:b/>
          <w:sz w:val="24"/>
          <w:szCs w:val="24"/>
        </w:rPr>
        <w:t xml:space="preserve"> </w:t>
      </w:r>
      <w:r w:rsidRPr="000A64D8">
        <w:rPr>
          <w:rFonts w:ascii="Arial" w:hAnsi="Arial" w:cs="Arial"/>
          <w:b/>
          <w:sz w:val="24"/>
          <w:szCs w:val="24"/>
        </w:rPr>
        <w:tab/>
      </w:r>
      <w:r w:rsidR="009B02A7" w:rsidRPr="009B02A7">
        <w:rPr>
          <w:rFonts w:ascii="Arial" w:hAnsi="Arial" w:cs="Arial"/>
          <w:b/>
          <w:sz w:val="24"/>
          <w:szCs w:val="24"/>
        </w:rPr>
        <w:t>R1-1716392</w:t>
      </w:r>
      <w:r w:rsidR="009B02A7" w:rsidRPr="009B02A7" w:rsidDel="009B02A7">
        <w:rPr>
          <w:rFonts w:ascii="Arial" w:hAnsi="Arial" w:cs="Arial"/>
          <w:b/>
          <w:sz w:val="24"/>
          <w:szCs w:val="24"/>
          <w:highlight w:val="yellow"/>
        </w:rPr>
        <w:t xml:space="preserve"> </w:t>
      </w:r>
    </w:p>
    <w:p w14:paraId="7349B4C9" w14:textId="29CDF099" w:rsidR="009F43A2" w:rsidRPr="00FD021C" w:rsidRDefault="009F43A2" w:rsidP="009F43A2">
      <w:pPr>
        <w:tabs>
          <w:tab w:val="right" w:pos="9630"/>
        </w:tabs>
        <w:spacing w:after="0"/>
        <w:jc w:val="both"/>
        <w:rPr>
          <w:rFonts w:ascii="Arial" w:hAnsi="Arial" w:cs="Arial"/>
          <w:b/>
          <w:sz w:val="24"/>
          <w:szCs w:val="24"/>
        </w:rPr>
      </w:pPr>
      <w:r>
        <w:rPr>
          <w:rFonts w:ascii="Arial" w:hAnsi="Arial" w:cs="Arial"/>
          <w:b/>
          <w:sz w:val="24"/>
          <w:szCs w:val="24"/>
        </w:rPr>
        <w:t>September 18</w:t>
      </w:r>
      <w:r>
        <w:rPr>
          <w:rFonts w:ascii="Arial" w:hAnsi="Arial" w:cs="Arial"/>
          <w:b/>
          <w:sz w:val="24"/>
          <w:szCs w:val="24"/>
          <w:vertAlign w:val="superscript"/>
        </w:rPr>
        <w:t>th</w:t>
      </w:r>
      <w:r>
        <w:rPr>
          <w:rFonts w:ascii="Arial" w:hAnsi="Arial" w:cs="Arial"/>
          <w:b/>
          <w:sz w:val="24"/>
          <w:szCs w:val="24"/>
        </w:rPr>
        <w:t xml:space="preserve"> – 21</w:t>
      </w:r>
      <w:r>
        <w:rPr>
          <w:rFonts w:ascii="Arial" w:hAnsi="Arial" w:cs="Arial"/>
          <w:b/>
          <w:sz w:val="24"/>
          <w:szCs w:val="24"/>
          <w:vertAlign w:val="superscript"/>
        </w:rPr>
        <w:t>st</w:t>
      </w:r>
      <w:r w:rsidRPr="00CC0D62">
        <w:rPr>
          <w:rFonts w:ascii="Arial" w:hAnsi="Arial" w:cs="Arial"/>
          <w:b/>
          <w:sz w:val="24"/>
          <w:szCs w:val="24"/>
        </w:rPr>
        <w:t>, 2017</w:t>
      </w:r>
      <w:r w:rsidR="00AF1D24">
        <w:rPr>
          <w:rFonts w:ascii="Arial" w:hAnsi="Arial" w:cs="Arial"/>
          <w:b/>
          <w:sz w:val="24"/>
          <w:szCs w:val="24"/>
        </w:rPr>
        <w:t xml:space="preserve">                                                                revision of R1-1713391</w:t>
      </w:r>
    </w:p>
    <w:p w14:paraId="6DA970A3" w14:textId="77777777" w:rsidR="009F43A2" w:rsidRPr="000A64D8" w:rsidRDefault="009F43A2" w:rsidP="009F43A2">
      <w:pPr>
        <w:spacing w:after="0"/>
        <w:jc w:val="both"/>
        <w:rPr>
          <w:rFonts w:ascii="Arial" w:hAnsi="Arial" w:cs="Arial"/>
          <w:b/>
          <w:sz w:val="24"/>
          <w:szCs w:val="24"/>
        </w:rPr>
      </w:pPr>
      <w:r>
        <w:rPr>
          <w:rFonts w:ascii="Arial" w:hAnsi="Arial" w:cs="Arial"/>
          <w:b/>
          <w:sz w:val="24"/>
          <w:szCs w:val="24"/>
        </w:rPr>
        <w:t>Nagoya, Japan</w:t>
      </w:r>
    </w:p>
    <w:p w14:paraId="26881B34" w14:textId="77777777" w:rsidR="0068226B" w:rsidRPr="000A64D8" w:rsidRDefault="0068226B" w:rsidP="00480B03">
      <w:pPr>
        <w:pStyle w:val="Footer"/>
        <w:jc w:val="both"/>
        <w:rPr>
          <w:noProof w:val="0"/>
        </w:rPr>
      </w:pPr>
    </w:p>
    <w:p w14:paraId="26881B35" w14:textId="03124B6D"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653299">
        <w:rPr>
          <w:rFonts w:ascii="Arial" w:hAnsi="Arial"/>
          <w:sz w:val="24"/>
        </w:rPr>
        <w:t>6</w:t>
      </w:r>
      <w:r w:rsidR="009F1033">
        <w:rPr>
          <w:rFonts w:ascii="Arial" w:hAnsi="Arial"/>
          <w:sz w:val="24"/>
        </w:rPr>
        <w:t>.</w:t>
      </w:r>
      <w:r w:rsidR="00087036">
        <w:rPr>
          <w:rFonts w:ascii="Arial" w:hAnsi="Arial"/>
          <w:sz w:val="24"/>
        </w:rPr>
        <w:t>2.1.6</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13F4E79D"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4717E">
        <w:rPr>
          <w:rFonts w:ascii="Arial" w:hAnsi="Arial"/>
          <w:sz w:val="22"/>
        </w:rPr>
        <w:t xml:space="preserve">On </w:t>
      </w:r>
      <w:r w:rsidR="009F1033">
        <w:rPr>
          <w:rFonts w:ascii="Arial" w:hAnsi="Arial"/>
          <w:sz w:val="24"/>
        </w:rPr>
        <w:t>M</w:t>
      </w:r>
      <w:r w:rsidR="00087036">
        <w:rPr>
          <w:rFonts w:ascii="Arial" w:hAnsi="Arial"/>
          <w:sz w:val="24"/>
        </w:rPr>
        <w:t xml:space="preserve">ulti-TRP and </w:t>
      </w:r>
      <w:r w:rsidR="009F1033">
        <w:rPr>
          <w:rFonts w:ascii="Arial" w:hAnsi="Arial"/>
          <w:sz w:val="24"/>
        </w:rPr>
        <w:t>M</w:t>
      </w:r>
      <w:r w:rsidR="00087036">
        <w:rPr>
          <w:rFonts w:ascii="Arial" w:hAnsi="Arial"/>
          <w:sz w:val="24"/>
        </w:rPr>
        <w:t xml:space="preserve">ulti-panel </w:t>
      </w:r>
      <w:r w:rsidR="009F1033">
        <w:rPr>
          <w:rFonts w:ascii="Arial" w:hAnsi="Arial"/>
          <w:sz w:val="24"/>
        </w:rPr>
        <w:t>T</w:t>
      </w:r>
      <w:r w:rsidR="00087036">
        <w:rPr>
          <w:rFonts w:ascii="Arial" w:hAnsi="Arial"/>
          <w:sz w:val="24"/>
        </w:rPr>
        <w:t>ransmission</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77FF927B" w14:textId="54585EB1" w:rsidR="008677DA" w:rsidRDefault="008677DA" w:rsidP="008677DA">
      <w:r>
        <w:t xml:space="preserve">In RAN 1# Adhoc June 2017 meeting the following agreements on Mult-TRP were made </w:t>
      </w:r>
      <w:r w:rsidR="000D708E">
        <w:t>[1]:</w:t>
      </w:r>
    </w:p>
    <w:p w14:paraId="5A96C3AD" w14:textId="77777777" w:rsidR="008677DA" w:rsidRPr="008677DA" w:rsidRDefault="008677DA" w:rsidP="003F2904">
      <w:pPr>
        <w:numPr>
          <w:ilvl w:val="0"/>
          <w:numId w:val="13"/>
        </w:numPr>
        <w:overflowPunct/>
        <w:autoSpaceDE/>
        <w:autoSpaceDN/>
        <w:adjustRightInd/>
        <w:spacing w:after="0"/>
        <w:jc w:val="both"/>
        <w:textAlignment w:val="auto"/>
        <w:rPr>
          <w:rFonts w:eastAsia="MS Mincho"/>
          <w:i/>
          <w:lang w:eastAsia="ja-JP"/>
        </w:rPr>
      </w:pPr>
      <w:r w:rsidRPr="008677DA">
        <w:rPr>
          <w:rFonts w:eastAsia="MS Mincho"/>
          <w:i/>
          <w:lang w:eastAsia="ja-JP"/>
        </w:rPr>
        <w:t>The maximum supported number of unicast and dynamically scheduled NR-PDSCHs a UE can be expected to simultaneously receive is 2 on a per component carrier basis in case of one bandwidth part for the component carrier</w:t>
      </w:r>
    </w:p>
    <w:p w14:paraId="64DDB1D7" w14:textId="77777777" w:rsidR="008677DA" w:rsidRPr="008677DA" w:rsidRDefault="008677DA" w:rsidP="003F2904">
      <w:pPr>
        <w:numPr>
          <w:ilvl w:val="1"/>
          <w:numId w:val="13"/>
        </w:numPr>
        <w:overflowPunct/>
        <w:autoSpaceDE/>
        <w:autoSpaceDN/>
        <w:adjustRightInd/>
        <w:spacing w:after="0"/>
        <w:jc w:val="both"/>
        <w:textAlignment w:val="auto"/>
        <w:rPr>
          <w:rFonts w:eastAsia="MS Mincho"/>
          <w:i/>
          <w:lang w:eastAsia="ja-JP"/>
        </w:rPr>
      </w:pPr>
      <w:r w:rsidRPr="008677DA">
        <w:rPr>
          <w:rFonts w:eastAsia="MS Mincho"/>
          <w:i/>
          <w:lang w:eastAsia="ja-JP"/>
        </w:rPr>
        <w:t>FFS in case of two or more bandwidth parts for the component carrier</w:t>
      </w:r>
    </w:p>
    <w:p w14:paraId="27FC77D3" w14:textId="77777777" w:rsidR="008677DA" w:rsidRPr="008677DA" w:rsidRDefault="008677DA" w:rsidP="003F2904">
      <w:pPr>
        <w:numPr>
          <w:ilvl w:val="1"/>
          <w:numId w:val="13"/>
        </w:numPr>
        <w:overflowPunct/>
        <w:autoSpaceDE/>
        <w:autoSpaceDN/>
        <w:adjustRightInd/>
        <w:spacing w:after="0"/>
        <w:jc w:val="both"/>
        <w:textAlignment w:val="auto"/>
        <w:rPr>
          <w:rFonts w:eastAsia="MS Mincho"/>
          <w:i/>
          <w:lang w:eastAsia="ja-JP"/>
        </w:rPr>
      </w:pPr>
      <w:r w:rsidRPr="008677DA">
        <w:rPr>
          <w:rFonts w:eastAsia="MS Mincho"/>
          <w:i/>
          <w:lang w:eastAsia="ja-JP"/>
        </w:rPr>
        <w:t>FFS the max number of corresponding NR-PDCCHs</w:t>
      </w:r>
    </w:p>
    <w:p w14:paraId="3B2458F3" w14:textId="27E4313B" w:rsidR="00CB6328" w:rsidRDefault="004E3AF8" w:rsidP="00EB3C7B">
      <w:pPr>
        <w:pStyle w:val="ListParagraph"/>
        <w:spacing w:before="180" w:after="180"/>
        <w:ind w:left="0"/>
        <w:jc w:val="both"/>
        <w:rPr>
          <w:rFonts w:ascii="Times New Roman" w:hAnsi="Times New Roman"/>
          <w:sz w:val="20"/>
          <w:szCs w:val="20"/>
        </w:rPr>
      </w:pPr>
      <w:r>
        <w:rPr>
          <w:rFonts w:ascii="Times New Roman" w:hAnsi="Times New Roman"/>
          <w:sz w:val="20"/>
          <w:szCs w:val="20"/>
        </w:rPr>
        <w:t xml:space="preserve">In </w:t>
      </w:r>
      <w:r w:rsidR="00CB6328">
        <w:rPr>
          <w:rFonts w:ascii="Times New Roman" w:hAnsi="Times New Roman"/>
          <w:sz w:val="20"/>
          <w:szCs w:val="20"/>
        </w:rPr>
        <w:t>RAN1</w:t>
      </w:r>
      <w:r w:rsidR="004E7F7E">
        <w:rPr>
          <w:rFonts w:ascii="Times New Roman" w:hAnsi="Times New Roman"/>
          <w:sz w:val="20"/>
          <w:szCs w:val="20"/>
        </w:rPr>
        <w:t>#89</w:t>
      </w:r>
      <w:r w:rsidR="00CB6328">
        <w:rPr>
          <w:rFonts w:ascii="Times New Roman" w:hAnsi="Times New Roman"/>
          <w:sz w:val="20"/>
          <w:szCs w:val="20"/>
        </w:rPr>
        <w:t>, the following agreements concerning multi-TRP and multi-panel transmission have been reached</w:t>
      </w:r>
      <w:r w:rsidR="004E7F7E">
        <w:rPr>
          <w:rFonts w:ascii="Times New Roman" w:hAnsi="Times New Roman"/>
          <w:sz w:val="20"/>
          <w:szCs w:val="20"/>
        </w:rPr>
        <w:t xml:space="preserve"> [</w:t>
      </w:r>
      <w:r w:rsidR="000D708E">
        <w:rPr>
          <w:rFonts w:ascii="Times New Roman" w:hAnsi="Times New Roman"/>
          <w:sz w:val="20"/>
          <w:szCs w:val="20"/>
        </w:rPr>
        <w:t>2</w:t>
      </w:r>
      <w:r w:rsidR="004E7F7E">
        <w:rPr>
          <w:rFonts w:ascii="Times New Roman" w:hAnsi="Times New Roman"/>
          <w:sz w:val="20"/>
          <w:szCs w:val="20"/>
        </w:rPr>
        <w:t>]</w:t>
      </w:r>
      <w:r w:rsidR="00CB6328">
        <w:rPr>
          <w:rFonts w:ascii="Times New Roman" w:hAnsi="Times New Roman"/>
          <w:sz w:val="20"/>
          <w:szCs w:val="20"/>
        </w:rPr>
        <w:t>:</w:t>
      </w:r>
    </w:p>
    <w:p w14:paraId="198EDBDE" w14:textId="77777777" w:rsidR="004E7F7E" w:rsidRPr="004E7F7E" w:rsidRDefault="004E7F7E" w:rsidP="00EB3C7B">
      <w:pPr>
        <w:numPr>
          <w:ilvl w:val="0"/>
          <w:numId w:val="13"/>
        </w:numPr>
        <w:overflowPunct/>
        <w:autoSpaceDE/>
        <w:autoSpaceDN/>
        <w:adjustRightInd/>
        <w:spacing w:after="0"/>
        <w:jc w:val="both"/>
        <w:textAlignment w:val="auto"/>
        <w:rPr>
          <w:rFonts w:eastAsia="MS Mincho"/>
          <w:i/>
          <w:lang w:eastAsia="ja-JP"/>
        </w:rPr>
      </w:pPr>
      <w:r w:rsidRPr="004E7F7E">
        <w:rPr>
          <w:rFonts w:eastAsia="MS Mincho"/>
          <w:i/>
          <w:lang w:eastAsia="ja-JP"/>
        </w:rPr>
        <w:t>Adopt the following for NR reception:</w:t>
      </w:r>
    </w:p>
    <w:p w14:paraId="18959CB5" w14:textId="77777777" w:rsidR="004E7F7E" w:rsidRPr="004E7F7E" w:rsidRDefault="004E7F7E" w:rsidP="00EB3C7B">
      <w:pPr>
        <w:numPr>
          <w:ilvl w:val="1"/>
          <w:numId w:val="13"/>
        </w:numPr>
        <w:overflowPunct/>
        <w:autoSpaceDE/>
        <w:autoSpaceDN/>
        <w:adjustRightInd/>
        <w:spacing w:after="0"/>
        <w:jc w:val="both"/>
        <w:textAlignment w:val="auto"/>
        <w:rPr>
          <w:rFonts w:eastAsia="MS Mincho"/>
          <w:i/>
          <w:lang w:eastAsia="ja-JP"/>
        </w:rPr>
      </w:pPr>
      <w:r w:rsidRPr="004E7F7E">
        <w:rPr>
          <w:rFonts w:eastAsia="MS Mincho"/>
          <w:i/>
          <w:lang w:eastAsia="ja-JP"/>
        </w:rPr>
        <w:t>Single NR-PDCCH schedules single NR-PDSCH where separate layers are transmitted from separate TRPs</w:t>
      </w:r>
    </w:p>
    <w:p w14:paraId="3EA9830D" w14:textId="77777777" w:rsidR="004E7F7E" w:rsidRPr="004E7F7E" w:rsidRDefault="004E7F7E" w:rsidP="00EB3C7B">
      <w:pPr>
        <w:numPr>
          <w:ilvl w:val="1"/>
          <w:numId w:val="13"/>
        </w:numPr>
        <w:overflowPunct/>
        <w:autoSpaceDE/>
        <w:autoSpaceDN/>
        <w:adjustRightInd/>
        <w:spacing w:after="0"/>
        <w:jc w:val="both"/>
        <w:textAlignment w:val="auto"/>
        <w:rPr>
          <w:rFonts w:eastAsia="MS Mincho"/>
          <w:i/>
          <w:lang w:eastAsia="ja-JP"/>
        </w:rPr>
      </w:pPr>
      <w:r w:rsidRPr="004E7F7E">
        <w:rPr>
          <w:rFonts w:eastAsia="MS Mincho"/>
          <w:i/>
          <w:lang w:eastAsia="ja-JP"/>
        </w:rPr>
        <w:t xml:space="preserve">Multiple NR-PDCCHs each scheduling a respective NR-PDSCH where each NR-PDSCH is transmitted from a separate TRP </w:t>
      </w:r>
    </w:p>
    <w:p w14:paraId="08156583" w14:textId="77777777" w:rsidR="004E7F7E" w:rsidRPr="004E7F7E" w:rsidRDefault="004E7F7E" w:rsidP="00EB3C7B">
      <w:pPr>
        <w:numPr>
          <w:ilvl w:val="1"/>
          <w:numId w:val="13"/>
        </w:numPr>
        <w:overflowPunct/>
        <w:autoSpaceDE/>
        <w:autoSpaceDN/>
        <w:adjustRightInd/>
        <w:spacing w:after="0"/>
        <w:jc w:val="both"/>
        <w:textAlignment w:val="auto"/>
        <w:rPr>
          <w:rFonts w:eastAsia="MS Mincho"/>
          <w:i/>
          <w:lang w:eastAsia="ja-JP"/>
        </w:rPr>
      </w:pPr>
      <w:r w:rsidRPr="004E7F7E">
        <w:rPr>
          <w:rFonts w:eastAsia="MS Mincho"/>
          <w:i/>
          <w:lang w:eastAsia="ja-JP"/>
        </w:rPr>
        <w:t>Note: the case of single NR-PDCCH schedules single NR-PDSCH where each layer is transmitted from all TRPs jointly can be done in a spec-transparent manner</w:t>
      </w:r>
    </w:p>
    <w:p w14:paraId="37E4199F" w14:textId="77777777" w:rsidR="004E7F7E" w:rsidRPr="004E7F7E" w:rsidRDefault="004E7F7E" w:rsidP="00EB3C7B">
      <w:pPr>
        <w:numPr>
          <w:ilvl w:val="2"/>
          <w:numId w:val="13"/>
        </w:numPr>
        <w:overflowPunct/>
        <w:autoSpaceDE/>
        <w:autoSpaceDN/>
        <w:adjustRightInd/>
        <w:spacing w:after="0"/>
        <w:jc w:val="both"/>
        <w:textAlignment w:val="auto"/>
        <w:rPr>
          <w:rFonts w:eastAsia="MS Mincho"/>
          <w:i/>
          <w:lang w:eastAsia="ja-JP"/>
        </w:rPr>
      </w:pPr>
      <w:r w:rsidRPr="004E7F7E">
        <w:rPr>
          <w:rFonts w:eastAsia="MS Mincho"/>
          <w:i/>
          <w:lang w:eastAsia="ja-JP"/>
        </w:rPr>
        <w:t>Note: CSI feedback details for the above case can be discussed separately</w:t>
      </w:r>
    </w:p>
    <w:p w14:paraId="2444181C" w14:textId="77777777" w:rsidR="004E7F7E" w:rsidRPr="004E7F7E" w:rsidRDefault="004E7F7E" w:rsidP="00EB3C7B">
      <w:pPr>
        <w:numPr>
          <w:ilvl w:val="0"/>
          <w:numId w:val="13"/>
        </w:numPr>
        <w:overflowPunct/>
        <w:autoSpaceDE/>
        <w:autoSpaceDN/>
        <w:adjustRightInd/>
        <w:spacing w:after="0"/>
        <w:jc w:val="both"/>
        <w:textAlignment w:val="auto"/>
        <w:rPr>
          <w:rFonts w:eastAsia="MS Mincho"/>
          <w:i/>
          <w:lang w:eastAsia="ja-JP"/>
        </w:rPr>
      </w:pPr>
      <w:r w:rsidRPr="004E7F7E">
        <w:rPr>
          <w:rFonts w:eastAsia="MS Mincho"/>
          <w:i/>
          <w:lang w:eastAsia="ja-JP"/>
        </w:rPr>
        <w:t>For the reception of multiple NR-PDCCHs each scheduling a respective NR-PDSCH where each NR-PDSCH is transmitted from a separate TRP, NR supports:</w:t>
      </w:r>
    </w:p>
    <w:p w14:paraId="635DA2BE" w14:textId="77777777" w:rsidR="004E7F7E" w:rsidRPr="004E7F7E" w:rsidRDefault="004E7F7E" w:rsidP="00EB3C7B">
      <w:pPr>
        <w:numPr>
          <w:ilvl w:val="1"/>
          <w:numId w:val="13"/>
        </w:numPr>
        <w:overflowPunct/>
        <w:autoSpaceDE/>
        <w:autoSpaceDN/>
        <w:adjustRightInd/>
        <w:spacing w:after="0"/>
        <w:jc w:val="both"/>
        <w:textAlignment w:val="auto"/>
        <w:rPr>
          <w:rFonts w:eastAsia="MS Mincho"/>
          <w:i/>
          <w:lang w:eastAsia="ja-JP"/>
        </w:rPr>
      </w:pPr>
      <w:r w:rsidRPr="004E7F7E">
        <w:rPr>
          <w:rFonts w:eastAsia="MS Mincho"/>
          <w:i/>
          <w:lang w:eastAsia="ja-JP"/>
        </w:rPr>
        <w:t>The maximum supported number of NR-PDCCHs/PDSCHs is either 2 or 3 or 4</w:t>
      </w:r>
    </w:p>
    <w:p w14:paraId="1A39322F" w14:textId="77777777" w:rsidR="004E7F7E" w:rsidRPr="004E7F7E" w:rsidRDefault="004E7F7E" w:rsidP="00EB3C7B">
      <w:pPr>
        <w:numPr>
          <w:ilvl w:val="2"/>
          <w:numId w:val="13"/>
        </w:numPr>
        <w:overflowPunct/>
        <w:autoSpaceDE/>
        <w:autoSpaceDN/>
        <w:adjustRightInd/>
        <w:spacing w:after="0"/>
        <w:jc w:val="both"/>
        <w:textAlignment w:val="auto"/>
        <w:rPr>
          <w:rFonts w:eastAsia="MS Mincho"/>
          <w:i/>
          <w:lang w:eastAsia="ja-JP"/>
        </w:rPr>
      </w:pPr>
      <w:r w:rsidRPr="004E7F7E">
        <w:rPr>
          <w:rFonts w:eastAsia="MS Mincho"/>
          <w:i/>
          <w:lang w:eastAsia="ja-JP"/>
        </w:rPr>
        <w:t>To be decided next meeting</w:t>
      </w:r>
    </w:p>
    <w:p w14:paraId="1F4702C7" w14:textId="77777777" w:rsidR="004E7F7E" w:rsidRPr="004E7F7E" w:rsidRDefault="004E7F7E" w:rsidP="00EB3C7B">
      <w:pPr>
        <w:numPr>
          <w:ilvl w:val="2"/>
          <w:numId w:val="13"/>
        </w:numPr>
        <w:overflowPunct/>
        <w:autoSpaceDE/>
        <w:autoSpaceDN/>
        <w:adjustRightInd/>
        <w:spacing w:after="0"/>
        <w:jc w:val="both"/>
        <w:textAlignment w:val="auto"/>
        <w:rPr>
          <w:rFonts w:eastAsia="MS Mincho"/>
          <w:i/>
          <w:lang w:eastAsia="ja-JP"/>
        </w:rPr>
      </w:pPr>
      <w:r w:rsidRPr="004E7F7E">
        <w:rPr>
          <w:rFonts w:eastAsia="MS Mincho"/>
          <w:i/>
          <w:lang w:eastAsia="ja-JP"/>
        </w:rPr>
        <w:t>FFS signaling (explicit or implicit) of the maximum number of NR-PDCCHs/PDSCHs for a UE, including the case of signaling a single NR-PDCCH/PDSCH</w:t>
      </w:r>
    </w:p>
    <w:p w14:paraId="1AC4EF3D" w14:textId="27D14780" w:rsidR="00536814" w:rsidRDefault="009F1033" w:rsidP="00EB3C7B">
      <w:pPr>
        <w:spacing w:before="180"/>
        <w:jc w:val="both"/>
      </w:pPr>
      <w:r>
        <w:t>This contribution is revised from [</w:t>
      </w:r>
      <w:r w:rsidR="00800295">
        <w:t>6</w:t>
      </w:r>
      <w:r>
        <w:t xml:space="preserve">].  </w:t>
      </w:r>
      <w:r w:rsidR="00EB3C7B">
        <w:t>In this contribution, we discuss open issues related to multi-TRP and multi-panel transmission.</w:t>
      </w:r>
    </w:p>
    <w:p w14:paraId="6A808625" w14:textId="51A8DDD0" w:rsidR="007D7698" w:rsidRDefault="00CB6328" w:rsidP="00564597">
      <w:pPr>
        <w:pStyle w:val="Heading1"/>
      </w:pPr>
      <w:r>
        <w:t>DL transmission</w:t>
      </w:r>
    </w:p>
    <w:p w14:paraId="249FD9F0" w14:textId="398B492B" w:rsidR="00CB6328" w:rsidRDefault="008B1459" w:rsidP="008B1459">
      <w:pPr>
        <w:pStyle w:val="Heading2"/>
      </w:pPr>
      <w:r>
        <w:t xml:space="preserve">Non-coherent </w:t>
      </w:r>
      <w:r w:rsidR="00D6714D">
        <w:t>Joint Transmission</w:t>
      </w:r>
    </w:p>
    <w:p w14:paraId="2F82CAD8" w14:textId="2EFB5224" w:rsidR="00D2514B" w:rsidRPr="00240171" w:rsidRDefault="00473AE1" w:rsidP="00744C39">
      <w:pPr>
        <w:jc w:val="both"/>
        <w:rPr>
          <w:lang w:val="en-GB"/>
        </w:rPr>
      </w:pPr>
      <w:r w:rsidRPr="00240171">
        <w:rPr>
          <w:lang w:val="en-GB"/>
        </w:rPr>
        <w:t>For non-coherent JT, the following two cases were agreed</w:t>
      </w:r>
      <w:r w:rsidR="00744C39" w:rsidRPr="00240171">
        <w:rPr>
          <w:lang w:val="en-GB"/>
        </w:rPr>
        <w:t>.</w:t>
      </w:r>
    </w:p>
    <w:p w14:paraId="1C0E7C3B" w14:textId="36DA24AC" w:rsidR="00473AE1" w:rsidRPr="00240171" w:rsidRDefault="00473AE1" w:rsidP="00394130">
      <w:pPr>
        <w:numPr>
          <w:ilvl w:val="0"/>
          <w:numId w:val="13"/>
        </w:numPr>
        <w:overflowPunct/>
        <w:autoSpaceDE/>
        <w:autoSpaceDN/>
        <w:adjustRightInd/>
        <w:spacing w:before="60" w:after="60"/>
        <w:jc w:val="both"/>
        <w:textAlignment w:val="auto"/>
        <w:rPr>
          <w:rFonts w:eastAsia="MS Mincho"/>
          <w:lang w:eastAsia="ja-JP"/>
        </w:rPr>
      </w:pPr>
      <w:r w:rsidRPr="00240171">
        <w:rPr>
          <w:rFonts w:eastAsia="MS Mincho"/>
          <w:lang w:eastAsia="ja-JP"/>
        </w:rPr>
        <w:t>Case 1: Single NR-PDCCH schedules single NR-PDSCH where separate layers are transmitted from separate TRPs</w:t>
      </w:r>
    </w:p>
    <w:p w14:paraId="72C0ADAF" w14:textId="079AD062" w:rsidR="00473AE1" w:rsidRPr="00240171" w:rsidRDefault="00473AE1" w:rsidP="00394130">
      <w:pPr>
        <w:numPr>
          <w:ilvl w:val="0"/>
          <w:numId w:val="13"/>
        </w:numPr>
        <w:overflowPunct/>
        <w:autoSpaceDE/>
        <w:autoSpaceDN/>
        <w:adjustRightInd/>
        <w:spacing w:before="60" w:after="60"/>
        <w:jc w:val="both"/>
        <w:textAlignment w:val="auto"/>
        <w:rPr>
          <w:rFonts w:eastAsia="MS Mincho"/>
          <w:lang w:eastAsia="ja-JP"/>
        </w:rPr>
      </w:pPr>
      <w:r w:rsidRPr="00240171">
        <w:rPr>
          <w:rFonts w:eastAsia="MS Mincho"/>
          <w:lang w:eastAsia="ja-JP"/>
        </w:rPr>
        <w:t xml:space="preserve">Case 2: Multiple NR-PDCCHs each scheduling a respective NR-PDSCH where each NR-PDSCH is transmitted from a separate TRP </w:t>
      </w:r>
    </w:p>
    <w:p w14:paraId="78082248" w14:textId="45C564A8" w:rsidR="00473AE1" w:rsidRPr="00240171" w:rsidRDefault="00473AE1" w:rsidP="00744C39">
      <w:pPr>
        <w:spacing w:before="180"/>
        <w:jc w:val="both"/>
      </w:pPr>
      <w:r w:rsidRPr="00240171">
        <w:t xml:space="preserve">For Case 1, </w:t>
      </w:r>
      <w:r w:rsidR="004337A1" w:rsidRPr="00240171">
        <w:t xml:space="preserve">a UE needs to be signaled with multiple DMRS port groups.  Each DMRS port group is associated with a TRP.  The UE can assume that the DMRS ports in the same group are QCL, but the DMRS ports across different groups are not QCL.  </w:t>
      </w:r>
    </w:p>
    <w:p w14:paraId="6C3B4AE4" w14:textId="776CF836" w:rsidR="00FE7504" w:rsidRDefault="00744C39" w:rsidP="00744C39">
      <w:pPr>
        <w:spacing w:before="180"/>
        <w:jc w:val="both"/>
      </w:pPr>
      <w:r w:rsidRPr="00240171">
        <w:t xml:space="preserve">For Case 2, </w:t>
      </w:r>
      <w:r w:rsidR="009D0B90">
        <w:t>it has been agreed that a UE can be expected to simulataneously receive up to 2 NR-PDCCHs/PDSCHs per component carrier (CC), in case of one bandwi</w:t>
      </w:r>
      <w:r w:rsidR="00CC60F6">
        <w:t>dth part (BWP) for the CC.  The maximum supported number of NR-</w:t>
      </w:r>
      <w:r w:rsidR="00CC60F6">
        <w:lastRenderedPageBreak/>
        <w:t xml:space="preserve">PDCCHs/PDSCHs is open in case of two or more BWPs for the CC.  For each CC, one or more BWPs can be semi-statically configured to a UE.  But till RAN1 NR Ad-Hoc #2, the support of multiple active BWPs are not agreed yet.  </w:t>
      </w:r>
      <w:r w:rsidR="00DB7BA4">
        <w:t xml:space="preserve">The use case and performance benefit of allowing multiple BWPs in one CC is unclear.  </w:t>
      </w:r>
      <w:r w:rsidR="008C2652">
        <w:t>I</w:t>
      </w:r>
      <w:r w:rsidR="00FE7504">
        <w:t>f more than one BWPs are activated for a UE on a CC, the transmission from a TRP may still be scheduled via a single NR-PDCCH.  So, the maximum number of PDCCHs</w:t>
      </w:r>
      <w:r w:rsidR="00FE7504" w:rsidRPr="00240171">
        <w:t xml:space="preserve"> </w:t>
      </w:r>
      <w:r w:rsidR="00FE7504">
        <w:t xml:space="preserve">is dependent on the maximum number TRPs carrying </w:t>
      </w:r>
      <w:r w:rsidR="00926140">
        <w:t xml:space="preserve">out </w:t>
      </w:r>
      <w:r w:rsidR="00FE7504">
        <w:t xml:space="preserve">non-coherent JT.  </w:t>
      </w:r>
    </w:p>
    <w:p w14:paraId="090FC5B8" w14:textId="4D7E7F84" w:rsidR="00744C39" w:rsidRPr="00240171" w:rsidRDefault="00744C39" w:rsidP="00744C39">
      <w:pPr>
        <w:spacing w:before="180"/>
        <w:jc w:val="both"/>
      </w:pPr>
      <w:r w:rsidRPr="00240171">
        <w:t xml:space="preserve">It is well known that for JT to be effective, the links between the UE and multiple TRPs should have comparable quality.  As shown in Figure 1, if one link is much </w:t>
      </w:r>
      <w:r w:rsidR="00944A72" w:rsidRPr="00240171">
        <w:t>weaker</w:t>
      </w:r>
      <w:r w:rsidRPr="00240171">
        <w:t xml:space="preserve"> than the other link, single-TRP transmission is more favored than multi-TRP transmission.</w:t>
      </w:r>
      <w:r w:rsidR="00C67077" w:rsidRPr="00240171">
        <w:t xml:space="preserve">  Since carrying non-coherent JT on the weak link brings marginal gain while the UE need to consume more power for PDCCH/PDSCH decoding.</w:t>
      </w:r>
      <w:r w:rsidR="003A14E4" w:rsidRPr="00240171">
        <w:t xml:space="preserve">  Even a UE has multiple RF chain/antenna arrays, the chance that more than two links with sufficient separation and comparable path loss is small.</w:t>
      </w:r>
      <w:r w:rsidR="00387CD0">
        <w:t xml:space="preserve">  </w:t>
      </w:r>
      <w:r w:rsidR="00FE7504">
        <w:t>So, up to 2 NR-PDCCHs should be sufficient in case of multiple BWPs on a CC</w:t>
      </w:r>
      <w:r w:rsidR="00387CD0">
        <w:t xml:space="preserve">.  </w:t>
      </w:r>
    </w:p>
    <w:p w14:paraId="4B8F22EA" w14:textId="2A7B32E5" w:rsidR="003A14E4" w:rsidRPr="00240171" w:rsidRDefault="003A14E4" w:rsidP="00744C39">
      <w:pPr>
        <w:spacing w:before="180"/>
        <w:jc w:val="both"/>
        <w:rPr>
          <w:b/>
          <w:i/>
        </w:rPr>
      </w:pPr>
      <w:r w:rsidRPr="00240171">
        <w:rPr>
          <w:b/>
          <w:i/>
        </w:rPr>
        <w:t xml:space="preserve">Proposal </w:t>
      </w:r>
      <w:r w:rsidR="008C2652">
        <w:rPr>
          <w:b/>
          <w:i/>
        </w:rPr>
        <w:t>1</w:t>
      </w:r>
      <w:r w:rsidRPr="00240171">
        <w:rPr>
          <w:b/>
          <w:i/>
        </w:rPr>
        <w:t xml:space="preserve">: </w:t>
      </w:r>
      <w:r w:rsidRPr="00240171">
        <w:rPr>
          <w:rFonts w:eastAsia="MS Mincho"/>
          <w:b/>
          <w:i/>
          <w:lang w:eastAsia="ja-JP"/>
        </w:rPr>
        <w:t xml:space="preserve">The maximum supported number of </w:t>
      </w:r>
      <w:r w:rsidR="00240171" w:rsidRPr="00240171">
        <w:rPr>
          <w:rFonts w:eastAsia="MS Mincho"/>
          <w:b/>
          <w:i/>
          <w:lang w:eastAsia="ja-JP"/>
        </w:rPr>
        <w:t xml:space="preserve">DL </w:t>
      </w:r>
      <w:r w:rsidRPr="00240171">
        <w:rPr>
          <w:rFonts w:eastAsia="MS Mincho"/>
          <w:b/>
          <w:i/>
          <w:lang w:eastAsia="ja-JP"/>
        </w:rPr>
        <w:t>NR-PDCCHs/PDSCHs is 2</w:t>
      </w:r>
      <w:r w:rsidR="00FE7504">
        <w:rPr>
          <w:rFonts w:eastAsia="MS Mincho"/>
          <w:b/>
          <w:i/>
          <w:lang w:eastAsia="ja-JP"/>
        </w:rPr>
        <w:t xml:space="preserve"> in case of </w:t>
      </w:r>
      <w:r w:rsidR="00BE1DBA">
        <w:rPr>
          <w:rFonts w:eastAsia="MS Mincho"/>
          <w:b/>
          <w:i/>
          <w:lang w:eastAsia="ja-JP"/>
        </w:rPr>
        <w:t>two or more</w:t>
      </w:r>
      <w:r w:rsidR="00FE7504">
        <w:rPr>
          <w:rFonts w:eastAsia="MS Mincho"/>
          <w:b/>
          <w:i/>
          <w:lang w:eastAsia="ja-JP"/>
        </w:rPr>
        <w:t xml:space="preserve"> BWPs per CC</w:t>
      </w:r>
      <w:r w:rsidRPr="00240171">
        <w:rPr>
          <w:rFonts w:eastAsia="MS Mincho"/>
          <w:b/>
          <w:i/>
          <w:lang w:eastAsia="ja-JP"/>
        </w:rPr>
        <w:t>.</w:t>
      </w:r>
    </w:p>
    <w:p w14:paraId="5EA9CDF3" w14:textId="36802810" w:rsidR="00744C39" w:rsidRPr="00240171" w:rsidRDefault="00E85FD2" w:rsidP="00E85FD2">
      <w:pPr>
        <w:keepNext/>
        <w:spacing w:before="240" w:after="240"/>
        <w:jc w:val="center"/>
      </w:pPr>
      <w:r w:rsidRPr="00240171">
        <w:rPr>
          <w:noProof/>
        </w:rPr>
        <w:drawing>
          <wp:inline distT="0" distB="0" distL="0" distR="0" wp14:anchorId="6D8DC6FA" wp14:editId="65CEBF11">
            <wp:extent cx="3570739" cy="1065278"/>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mparable_link.png"/>
                    <pic:cNvPicPr/>
                  </pic:nvPicPr>
                  <pic:blipFill>
                    <a:blip r:embed="rId12">
                      <a:extLst>
                        <a:ext uri="{28A0092B-C50C-407E-A947-70E740481C1C}">
                          <a14:useLocalDpi xmlns:a14="http://schemas.microsoft.com/office/drawing/2010/main" val="0"/>
                        </a:ext>
                      </a:extLst>
                    </a:blip>
                    <a:stretch>
                      <a:fillRect/>
                    </a:stretch>
                  </pic:blipFill>
                  <pic:spPr>
                    <a:xfrm>
                      <a:off x="0" y="0"/>
                      <a:ext cx="3570739" cy="1065278"/>
                    </a:xfrm>
                    <a:prstGeom prst="rect">
                      <a:avLst/>
                    </a:prstGeom>
                  </pic:spPr>
                </pic:pic>
              </a:graphicData>
            </a:graphic>
          </wp:inline>
        </w:drawing>
      </w:r>
    </w:p>
    <w:p w14:paraId="27EA685B" w14:textId="42384F36" w:rsidR="00E85FD2" w:rsidRPr="00240171" w:rsidRDefault="00E85FD2" w:rsidP="00E85FD2">
      <w:pPr>
        <w:pStyle w:val="Caption"/>
        <w:jc w:val="center"/>
      </w:pPr>
      <w:r w:rsidRPr="00240171">
        <w:t xml:space="preserve">Figure </w:t>
      </w:r>
      <w:r w:rsidR="003B5183">
        <w:fldChar w:fldCharType="begin"/>
      </w:r>
      <w:r w:rsidR="003B5183">
        <w:instrText xml:space="preserve"> SEQ Figure \* ARABIC </w:instrText>
      </w:r>
      <w:r w:rsidR="003B5183">
        <w:fldChar w:fldCharType="separate"/>
      </w:r>
      <w:r w:rsidR="00870A54" w:rsidRPr="00240171">
        <w:rPr>
          <w:noProof/>
        </w:rPr>
        <w:t>1</w:t>
      </w:r>
      <w:r w:rsidR="003B5183">
        <w:rPr>
          <w:noProof/>
        </w:rPr>
        <w:fldChar w:fldCharType="end"/>
      </w:r>
      <w:r w:rsidRPr="00240171">
        <w:t>: Illustration of cases favoring JT and non-JT.</w:t>
      </w:r>
    </w:p>
    <w:p w14:paraId="414E78E2" w14:textId="35C1B779" w:rsidR="00453456" w:rsidRPr="00240171" w:rsidRDefault="00453456" w:rsidP="00453456">
      <w:pPr>
        <w:spacing w:before="180"/>
        <w:jc w:val="both"/>
      </w:pPr>
      <w:r w:rsidRPr="00240171">
        <w:t xml:space="preserve">Even if it is capable of receiving multiple NR-PDSCHs scheduled by multiple NR-PDCCHs, a UE may not be always feasible to do so.  For example, if it’s power consumption budget is limited, the UE may prefer to just decode a single NR-PDCCH/PDSCH for the sake of power saving.  </w:t>
      </w:r>
      <w:r w:rsidR="00FB61DB">
        <w:t>D</w:t>
      </w:r>
      <w:r w:rsidRPr="00240171">
        <w:t xml:space="preserve">ynamic </w:t>
      </w:r>
      <w:r w:rsidR="002D5AEF" w:rsidRPr="00240171">
        <w:t>signaling of UE’s capability of  1 or 2 NR-PDCCHs/PDSCHs can be considered.  A UE may signal the capability of 2 NR-PDCCHs/PDSCHs at one time but capability of 1 at another time.  The detailed signaling mechanism is FFS.</w:t>
      </w:r>
    </w:p>
    <w:p w14:paraId="603EA6B1" w14:textId="339E7E33" w:rsidR="00D33D9C" w:rsidRPr="0054717E" w:rsidRDefault="002D5AEF" w:rsidP="00453456">
      <w:pPr>
        <w:spacing w:before="180"/>
        <w:jc w:val="both"/>
        <w:rPr>
          <w:b/>
          <w:i/>
        </w:rPr>
      </w:pPr>
      <w:r w:rsidRPr="00240171">
        <w:rPr>
          <w:b/>
          <w:i/>
        </w:rPr>
        <w:t xml:space="preserve">Proposal </w:t>
      </w:r>
      <w:r w:rsidR="008C2652">
        <w:rPr>
          <w:b/>
          <w:i/>
        </w:rPr>
        <w:t>2</w:t>
      </w:r>
      <w:r w:rsidRPr="00240171">
        <w:rPr>
          <w:b/>
          <w:i/>
        </w:rPr>
        <w:t xml:space="preserve">: Support dynamic signaling to report the </w:t>
      </w:r>
      <w:r w:rsidR="009D2B94">
        <w:rPr>
          <w:b/>
          <w:i/>
        </w:rPr>
        <w:t>supported</w:t>
      </w:r>
      <w:r w:rsidR="004A79FD" w:rsidRPr="00240171">
        <w:rPr>
          <w:b/>
          <w:i/>
        </w:rPr>
        <w:t xml:space="preserve"> </w:t>
      </w:r>
      <w:r w:rsidRPr="00240171">
        <w:rPr>
          <w:b/>
          <w:i/>
        </w:rPr>
        <w:t>number of NR-PDCCHs/PDSCHs from UE to gNB.  The detailed signaling mechanism is FFS.</w:t>
      </w:r>
    </w:p>
    <w:p w14:paraId="3EF2A8A3" w14:textId="6B5C2B8E" w:rsidR="009D2B94" w:rsidRDefault="00FE21FB" w:rsidP="001424F8">
      <w:pPr>
        <w:jc w:val="both"/>
      </w:pPr>
      <w:r w:rsidRPr="0054717E">
        <w:t xml:space="preserve">When multiple PDCCH </w:t>
      </w:r>
      <w:r w:rsidR="009D2B94" w:rsidRPr="0054717E">
        <w:t>links</w:t>
      </w:r>
      <w:r w:rsidRPr="0054717E">
        <w:t xml:space="preserve"> are configured, regardless if they are from the same TRP/panel or not, a common PDCCH monitoring mechanism should be applied</w:t>
      </w:r>
      <w:r w:rsidR="009D2B94" w:rsidRPr="0054717E">
        <w:t xml:space="preserve"> [4</w:t>
      </w:r>
      <w:r w:rsidRPr="0054717E">
        <w:t xml:space="preserve">]. The monitoring pattern should be configurable and multiple PDCCHs may </w:t>
      </w:r>
      <w:r w:rsidR="007525BB" w:rsidRPr="0054717E">
        <w:t>come in different slot in a TDM fashion</w:t>
      </w:r>
      <w:r w:rsidRPr="0054717E">
        <w:t xml:space="preserve"> or </w:t>
      </w:r>
      <w:r w:rsidR="007525BB" w:rsidRPr="0054717E">
        <w:t>even</w:t>
      </w:r>
      <w:r w:rsidRPr="0054717E">
        <w:t xml:space="preserve"> in the same slot. In the later case, limitation on the maximal number of blind decodes may be considered.  </w:t>
      </w:r>
      <w:r w:rsidRPr="0054717E" w:rsidDel="00FE21FB">
        <w:t xml:space="preserve"> </w:t>
      </w:r>
    </w:p>
    <w:p w14:paraId="49FFE7E9" w14:textId="68554C3C" w:rsidR="00926140" w:rsidRDefault="00926140" w:rsidP="001424F8">
      <w:pPr>
        <w:jc w:val="both"/>
      </w:pPr>
      <w:r>
        <w:t xml:space="preserve">Regarding CSI feedback for non-coherent JT, </w:t>
      </w:r>
      <w:r w:rsidR="00E9688E">
        <w:t xml:space="preserve">an open issue is how to measure the inter-layer interference.  There could be two options. </w:t>
      </w:r>
    </w:p>
    <w:p w14:paraId="2B5A91FC" w14:textId="138DB7F5" w:rsidR="00E9688E" w:rsidRPr="00394130" w:rsidRDefault="00E9688E" w:rsidP="00394130">
      <w:pPr>
        <w:numPr>
          <w:ilvl w:val="0"/>
          <w:numId w:val="13"/>
        </w:numPr>
        <w:overflowPunct/>
        <w:autoSpaceDE/>
        <w:autoSpaceDN/>
        <w:adjustRightInd/>
        <w:spacing w:before="60" w:after="60"/>
        <w:jc w:val="both"/>
        <w:textAlignment w:val="auto"/>
        <w:rPr>
          <w:rFonts w:eastAsia="MS Mincho"/>
          <w:lang w:eastAsia="ja-JP"/>
        </w:rPr>
      </w:pPr>
      <w:r w:rsidRPr="00394130">
        <w:rPr>
          <w:rFonts w:eastAsia="MS Mincho"/>
          <w:lang w:eastAsia="ja-JP"/>
        </w:rPr>
        <w:t xml:space="preserve">Option-1: A UE is configured with two CSI reporting settings each repectively report the CSI for the layers transmitted from one TRP.  </w:t>
      </w:r>
    </w:p>
    <w:p w14:paraId="3ED6E5DB" w14:textId="7657CC3A" w:rsidR="00E9688E" w:rsidRPr="00394130" w:rsidRDefault="00E9688E" w:rsidP="00394130">
      <w:pPr>
        <w:numPr>
          <w:ilvl w:val="0"/>
          <w:numId w:val="13"/>
        </w:numPr>
        <w:overflowPunct/>
        <w:autoSpaceDE/>
        <w:autoSpaceDN/>
        <w:adjustRightInd/>
        <w:spacing w:before="60" w:after="60"/>
        <w:jc w:val="both"/>
        <w:textAlignment w:val="auto"/>
        <w:rPr>
          <w:rFonts w:eastAsia="MS Mincho"/>
          <w:lang w:eastAsia="ja-JP"/>
        </w:rPr>
      </w:pPr>
      <w:r w:rsidRPr="00394130">
        <w:rPr>
          <w:rFonts w:eastAsia="MS Mincho"/>
          <w:lang w:eastAsia="ja-JP"/>
        </w:rPr>
        <w:t>Option-2: A UE is configured with a single CSI reporting setting.  The UE picks the PMI/RI jointly (assuming non-coherent precoding across TRPs, e.g., the composite precoder has a block diagonal structure) and reports CQI for each TRPs</w:t>
      </w:r>
      <w:r w:rsidR="009E4B0C" w:rsidRPr="00394130">
        <w:rPr>
          <w:rFonts w:eastAsia="MS Mincho"/>
          <w:lang w:eastAsia="ja-JP"/>
        </w:rPr>
        <w:t>.</w:t>
      </w:r>
    </w:p>
    <w:p w14:paraId="2142D3DE" w14:textId="0CA99D13" w:rsidR="009E4B0C" w:rsidRDefault="009E4B0C" w:rsidP="001424F8">
      <w:pPr>
        <w:jc w:val="both"/>
      </w:pPr>
      <w:r>
        <w:t xml:space="preserve">Further study on </w:t>
      </w:r>
      <w:r w:rsidR="0040070B">
        <w:t>these two options are needed.</w:t>
      </w:r>
    </w:p>
    <w:p w14:paraId="41D7033A" w14:textId="77777777" w:rsidR="00AE6B6A" w:rsidRDefault="00AE6B6A" w:rsidP="00AE6B6A">
      <w:pPr>
        <w:pStyle w:val="Heading2"/>
      </w:pPr>
      <w:r>
        <w:t>Coherent Joint Transmission</w:t>
      </w:r>
    </w:p>
    <w:p w14:paraId="70A3994A" w14:textId="7244A706" w:rsidR="00AE6B6A" w:rsidRPr="00240171" w:rsidRDefault="00AE6B6A" w:rsidP="00AE6B6A">
      <w:pPr>
        <w:jc w:val="both"/>
        <w:rPr>
          <w:lang w:val="en-GB"/>
        </w:rPr>
      </w:pPr>
      <w:r w:rsidRPr="00240171">
        <w:rPr>
          <w:lang w:val="en-GB"/>
        </w:rPr>
        <w:t>In addition to non-coherent JT, coherent JT provides another way to jointly carry out the transmission to a given device from multiple TRPs/panels.  In coherent JT, each layer of a transport block (TB) is jointly transmitted from multiple TRPs/panels in a phase-coherent manner.  To get the best performance out of coherent JT, it is essential to have an accurate and timely channel state information (CSI), as the performance of coherent JT is very sensitive to CSI accuracy.</w:t>
      </w:r>
    </w:p>
    <w:p w14:paraId="4F3CA830" w14:textId="6BBE9419" w:rsidR="00AE6B6A" w:rsidRPr="00240171" w:rsidRDefault="00AE6B6A" w:rsidP="00AE6B6A">
      <w:pPr>
        <w:jc w:val="both"/>
        <w:rPr>
          <w:lang w:val="en-GB"/>
        </w:rPr>
      </w:pPr>
      <w:r w:rsidRPr="00240171">
        <w:rPr>
          <w:lang w:val="en-GB"/>
        </w:rPr>
        <w:lastRenderedPageBreak/>
        <w:t>In FDD or in non-reciprocity-based coherent JT</w:t>
      </w:r>
      <w:r w:rsidR="004A2BE5">
        <w:rPr>
          <w:lang w:val="en-GB"/>
        </w:rPr>
        <w:t>the</w:t>
      </w:r>
      <w:r w:rsidRPr="00240171">
        <w:rPr>
          <w:lang w:val="en-GB"/>
        </w:rPr>
        <w:t xml:space="preserve"> performance is typically limited by the lack of accurate CSI imposed by the practical CSI feedback overhead.  Moreover, prior studies on coherent JT shows the benefit of a large cooperation set size.  However, as the cooperation set size grows, the feedback overhead requirement grows at least proportionally. </w:t>
      </w:r>
    </w:p>
    <w:p w14:paraId="59C2DF7E" w14:textId="4F65CB0D" w:rsidR="004A2BE5" w:rsidRDefault="00AE6B6A" w:rsidP="00AE6B6A">
      <w:pPr>
        <w:jc w:val="both"/>
        <w:rPr>
          <w:lang w:val="en-GB"/>
        </w:rPr>
      </w:pPr>
      <w:r w:rsidRPr="00240171">
        <w:rPr>
          <w:lang w:val="en-GB"/>
        </w:rPr>
        <w:t>For TDD deployments, reciprocity-based MIMO transmission is very attractive because of the overhead savings in CSI feedback and improved MIMO performance by enabling flexible non-codebook based transmission schemes.    The SRS enables the network to obtain unquantized (i.e. non-codebook-based) channel estimates on each subcarrier, and this enables the network to create fine-tuned beams on each subcarrier for a very accurate nullforming.  The use of aperiodic SRS enables the network to obtain fresh channel estimates.  For these reasons, it is expected that reciprocity-based coherent JT can achieve much better performance than FDD-based coherent JT</w:t>
      </w:r>
      <w:r>
        <w:rPr>
          <w:lang w:val="en-GB"/>
        </w:rPr>
        <w:t xml:space="preserve"> </w:t>
      </w:r>
      <w:r w:rsidRPr="00240171">
        <w:rPr>
          <w:lang w:val="en-GB"/>
        </w:rPr>
        <w:t>without increasing the feedback overhead, because the performance of the latter is limited by the lack of accurate and timely CSI.</w:t>
      </w:r>
      <w:r w:rsidR="004A2BE5">
        <w:rPr>
          <w:lang w:val="en-GB"/>
        </w:rPr>
        <w:t xml:space="preserve">  </w:t>
      </w:r>
      <w:r w:rsidRPr="00240171">
        <w:rPr>
          <w:lang w:val="en-GB"/>
        </w:rPr>
        <w:t xml:space="preserve">Reciprocity-based coherent JT is also very useful for unlicensed/shared spectrum, as it achieves more efficient use of the shared medium.  It is also very promising for isolated deployments such as gaming arena that would benefit from always-cell-center, high throughput, and low latency performance of coherent JT.  </w:t>
      </w:r>
    </w:p>
    <w:p w14:paraId="027A37AE" w14:textId="14DCC7D6" w:rsidR="00AE6B6A" w:rsidRPr="00240171" w:rsidRDefault="00AE6B6A" w:rsidP="00AE6B6A">
      <w:pPr>
        <w:jc w:val="both"/>
        <w:rPr>
          <w:lang w:val="en-GB"/>
        </w:rPr>
      </w:pPr>
      <w:r w:rsidRPr="00240171">
        <w:rPr>
          <w:lang w:val="en-GB"/>
        </w:rPr>
        <w:t>Although the support of reciprocity-based coherent JT is largely spec-transparent, there are some aspects that needs to be considered, in particular, over-the-air reciprocity calibration and time/phase synchronization, which we discussed in [2-3].</w:t>
      </w:r>
      <w:r w:rsidR="004A2BE5">
        <w:rPr>
          <w:lang w:val="en-GB"/>
        </w:rPr>
        <w:t xml:space="preserve">  </w:t>
      </w:r>
      <w:r w:rsidRPr="00240171">
        <w:rPr>
          <w:lang w:val="en-GB"/>
        </w:rPr>
        <w:t>Also, coherent JT may require special considerations or favour different parameter selections in various NR design aspects, including (but not limited to) SRS dimensioning, QCL, MCS design, etc.  Therefore, it is recommended that the design of NR channels and procedures take the coherent JT into account as one of the use cases and evaluation scenarios.</w:t>
      </w:r>
    </w:p>
    <w:p w14:paraId="25B6AD9C" w14:textId="53896015" w:rsidR="00AE6B6A" w:rsidRPr="00240171" w:rsidRDefault="00AE6B6A" w:rsidP="00AE6B6A">
      <w:pPr>
        <w:tabs>
          <w:tab w:val="left" w:pos="2160"/>
        </w:tabs>
        <w:spacing w:after="120" w:line="259" w:lineRule="auto"/>
        <w:jc w:val="both"/>
      </w:pPr>
      <w:r w:rsidRPr="00240171">
        <w:rPr>
          <w:b/>
          <w:i/>
        </w:rPr>
        <w:t xml:space="preserve">Proposal </w:t>
      </w:r>
      <w:r w:rsidR="008C2652">
        <w:rPr>
          <w:b/>
          <w:i/>
        </w:rPr>
        <w:t>3</w:t>
      </w:r>
      <w:r w:rsidRPr="00240171">
        <w:rPr>
          <w:b/>
          <w:i/>
        </w:rPr>
        <w:t>: Consider reciprocity-based coherent JT use cases and compatibility in designing NR channels and procedures and in performance evaluations.</w:t>
      </w:r>
    </w:p>
    <w:p w14:paraId="14DCB893" w14:textId="2846CE09" w:rsidR="00706B49" w:rsidRDefault="00706B49" w:rsidP="00706B49">
      <w:pPr>
        <w:pStyle w:val="Heading1"/>
      </w:pPr>
      <w:r>
        <w:t>UL Transmission</w:t>
      </w:r>
    </w:p>
    <w:p w14:paraId="08A322DB" w14:textId="719827F0" w:rsidR="00CD793D" w:rsidRPr="00240171" w:rsidRDefault="00C53028" w:rsidP="00D036E8">
      <w:pPr>
        <w:spacing w:before="180"/>
        <w:jc w:val="both"/>
        <w:rPr>
          <w:lang w:val="en-GB"/>
        </w:rPr>
      </w:pPr>
      <w:r w:rsidRPr="00240171">
        <w:rPr>
          <w:lang w:val="en-GB"/>
        </w:rPr>
        <w:t xml:space="preserve">For sub-6GHz, multiple antenna panels may be available at the CPE devices.  For higher frequencies, even handheld UEs can be equipped with multiple subarrays </w:t>
      </w:r>
      <w:r w:rsidR="00CD793D" w:rsidRPr="00240171">
        <w:rPr>
          <w:lang w:val="en-GB"/>
        </w:rPr>
        <w:t xml:space="preserve">motivated by the </w:t>
      </w:r>
      <w:r w:rsidRPr="00240171">
        <w:rPr>
          <w:lang w:val="en-GB"/>
        </w:rPr>
        <w:t>blockage</w:t>
      </w:r>
      <w:r w:rsidR="00CD793D" w:rsidRPr="00240171">
        <w:rPr>
          <w:lang w:val="en-GB"/>
        </w:rPr>
        <w:t xml:space="preserve"> effect</w:t>
      </w:r>
      <w:r w:rsidRPr="00240171">
        <w:rPr>
          <w:lang w:val="en-GB"/>
        </w:rPr>
        <w:t xml:space="preserve">.  </w:t>
      </w:r>
      <w:r w:rsidR="00CD793D" w:rsidRPr="00240171">
        <w:rPr>
          <w:lang w:val="en-GB"/>
        </w:rPr>
        <w:t xml:space="preserve">The UL transmission can be carried out from multiple panels/subarrays jointly in a spec-transparent manner.  This can be up to UE implementation during beam management.  An established beam pair may include an uplink beam consisting of multiple panels.  </w:t>
      </w:r>
    </w:p>
    <w:p w14:paraId="43B871F8" w14:textId="037B2AA9" w:rsidR="00D6714D" w:rsidRPr="00240171" w:rsidRDefault="00CD793D" w:rsidP="00D036E8">
      <w:pPr>
        <w:spacing w:before="180"/>
        <w:jc w:val="both"/>
        <w:rPr>
          <w:lang w:val="en-GB"/>
        </w:rPr>
      </w:pPr>
      <w:r w:rsidRPr="00240171">
        <w:rPr>
          <w:lang w:val="en-GB"/>
        </w:rPr>
        <w:t>Besides coherent JT among multiple panels/subarrays, non-coherent JT from different panels/subarrays can be scheduled via a single or multiple NR-</w:t>
      </w:r>
      <w:r w:rsidR="00F54975" w:rsidRPr="00240171">
        <w:rPr>
          <w:lang w:val="en-GB"/>
        </w:rPr>
        <w:t>PDCCHs, as shown in Figure 2.</w:t>
      </w:r>
    </w:p>
    <w:p w14:paraId="0761A847" w14:textId="4ED2E085" w:rsidR="00BA5BA3" w:rsidRPr="00240171" w:rsidRDefault="00BA5BA3" w:rsidP="000B1D3B">
      <w:pPr>
        <w:numPr>
          <w:ilvl w:val="0"/>
          <w:numId w:val="13"/>
        </w:numPr>
        <w:overflowPunct/>
        <w:autoSpaceDE/>
        <w:autoSpaceDN/>
        <w:adjustRightInd/>
        <w:spacing w:after="0"/>
        <w:jc w:val="both"/>
        <w:textAlignment w:val="auto"/>
        <w:rPr>
          <w:rFonts w:eastAsia="MS Mincho"/>
          <w:lang w:eastAsia="ja-JP"/>
        </w:rPr>
      </w:pPr>
      <w:r w:rsidRPr="00240171">
        <w:rPr>
          <w:rFonts w:eastAsia="MS Mincho"/>
          <w:lang w:eastAsia="ja-JP"/>
        </w:rPr>
        <w:t>Case 1: Single NR-PDCCH schedules single NR-PUSCH where separate layers are transmitted from separate panels/subarrays</w:t>
      </w:r>
    </w:p>
    <w:p w14:paraId="5866F34F" w14:textId="37507299" w:rsidR="00BA5BA3" w:rsidRDefault="00BA5BA3" w:rsidP="000B1D3B">
      <w:pPr>
        <w:numPr>
          <w:ilvl w:val="0"/>
          <w:numId w:val="13"/>
        </w:numPr>
        <w:overflowPunct/>
        <w:autoSpaceDE/>
        <w:autoSpaceDN/>
        <w:adjustRightInd/>
        <w:spacing w:after="0"/>
        <w:jc w:val="both"/>
        <w:textAlignment w:val="auto"/>
        <w:rPr>
          <w:rFonts w:eastAsia="MS Mincho"/>
          <w:lang w:eastAsia="ja-JP"/>
        </w:rPr>
      </w:pPr>
      <w:r w:rsidRPr="00240171">
        <w:rPr>
          <w:rFonts w:eastAsia="MS Mincho"/>
          <w:lang w:eastAsia="ja-JP"/>
        </w:rPr>
        <w:t>Case 2: Multiple NR-PDCCHs each scheduling a respective NR-PUSCH where each NR-PUSCH is transmitted from a separate panel/subarray</w:t>
      </w:r>
    </w:p>
    <w:p w14:paraId="40811A06" w14:textId="77777777" w:rsidR="00870A54" w:rsidRPr="00240171" w:rsidRDefault="00870A54" w:rsidP="00870A54">
      <w:pPr>
        <w:keepNext/>
        <w:spacing w:before="240" w:after="240"/>
        <w:jc w:val="center"/>
      </w:pPr>
      <w:r w:rsidRPr="00240171">
        <w:rPr>
          <w:noProof/>
        </w:rPr>
        <w:drawing>
          <wp:inline distT="0" distB="0" distL="0" distR="0" wp14:anchorId="049F6361" wp14:editId="3D019DDF">
            <wp:extent cx="6176784" cy="118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ingle-multi-PUSCH.png"/>
                    <pic:cNvPicPr/>
                  </pic:nvPicPr>
                  <pic:blipFill>
                    <a:blip r:embed="rId13">
                      <a:extLst>
                        <a:ext uri="{28A0092B-C50C-407E-A947-70E740481C1C}">
                          <a14:useLocalDpi xmlns:a14="http://schemas.microsoft.com/office/drawing/2010/main" val="0"/>
                        </a:ext>
                      </a:extLst>
                    </a:blip>
                    <a:stretch>
                      <a:fillRect/>
                    </a:stretch>
                  </pic:blipFill>
                  <pic:spPr>
                    <a:xfrm>
                      <a:off x="0" y="0"/>
                      <a:ext cx="6176784" cy="1184150"/>
                    </a:xfrm>
                    <a:prstGeom prst="rect">
                      <a:avLst/>
                    </a:prstGeom>
                  </pic:spPr>
                </pic:pic>
              </a:graphicData>
            </a:graphic>
          </wp:inline>
        </w:drawing>
      </w:r>
    </w:p>
    <w:p w14:paraId="6F6FEFE8" w14:textId="0879ADD5" w:rsidR="00F54975" w:rsidRPr="00240171" w:rsidRDefault="00F54975" w:rsidP="00F54975">
      <w:pPr>
        <w:pStyle w:val="Caption"/>
        <w:tabs>
          <w:tab w:val="center" w:pos="2070"/>
          <w:tab w:val="center" w:pos="7380"/>
        </w:tabs>
        <w:rPr>
          <w:b w:val="0"/>
        </w:rPr>
      </w:pPr>
      <w:r w:rsidRPr="00240171">
        <w:rPr>
          <w:b w:val="0"/>
        </w:rPr>
        <w:tab/>
        <w:t xml:space="preserve"> (a) Single NR-PDCCH/PUSCH</w:t>
      </w:r>
      <w:r w:rsidRPr="00240171">
        <w:rPr>
          <w:b w:val="0"/>
        </w:rPr>
        <w:tab/>
        <w:t>(b) Multiple NR-PDCCHs/PUSCHs</w:t>
      </w:r>
    </w:p>
    <w:p w14:paraId="48815467" w14:textId="1006C994" w:rsidR="00BA5BA3" w:rsidRPr="00240171" w:rsidRDefault="00870A54" w:rsidP="00870A54">
      <w:pPr>
        <w:pStyle w:val="Caption"/>
        <w:jc w:val="center"/>
        <w:rPr>
          <w:lang w:val="en-GB"/>
        </w:rPr>
      </w:pPr>
      <w:r w:rsidRPr="00240171">
        <w:t xml:space="preserve">Figure </w:t>
      </w:r>
      <w:r w:rsidR="003B5183">
        <w:fldChar w:fldCharType="begin"/>
      </w:r>
      <w:r w:rsidR="003B5183">
        <w:instrText xml:space="preserve"> SEQ Figure \* ARA</w:instrText>
      </w:r>
      <w:r w:rsidR="003B5183">
        <w:instrText xml:space="preserve">BIC </w:instrText>
      </w:r>
      <w:r w:rsidR="003B5183">
        <w:fldChar w:fldCharType="separate"/>
      </w:r>
      <w:r w:rsidRPr="00240171">
        <w:rPr>
          <w:noProof/>
        </w:rPr>
        <w:t>2</w:t>
      </w:r>
      <w:r w:rsidR="003B5183">
        <w:rPr>
          <w:noProof/>
        </w:rPr>
        <w:fldChar w:fldCharType="end"/>
      </w:r>
      <w:r w:rsidRPr="00240171">
        <w:t xml:space="preserve">: </w:t>
      </w:r>
      <w:r w:rsidR="00F54975" w:rsidRPr="00240171">
        <w:t>Non-coherent JT in UL: Single NR-PDCCH/PUSCH vs multiple NR-PDCCHSs/PUCSCHs.</w:t>
      </w:r>
    </w:p>
    <w:p w14:paraId="1D858918" w14:textId="7B4B56D3" w:rsidR="00D6714D" w:rsidRPr="00240171" w:rsidRDefault="000B1D3B" w:rsidP="00240171">
      <w:pPr>
        <w:jc w:val="both"/>
        <w:rPr>
          <w:lang w:val="en-GB"/>
        </w:rPr>
      </w:pPr>
      <w:r w:rsidRPr="00240171">
        <w:rPr>
          <w:lang w:val="en-GB"/>
        </w:rPr>
        <w:t xml:space="preserve">Due to the limitation of UL transmit power, UE form factor and blockage effect, it’s unlikely that more than 2 panels/subarrays can be available for non-coherent UL JT.  Similar to DL, the maximum supported number of </w:t>
      </w:r>
      <w:r w:rsidR="00D6714D" w:rsidRPr="00240171">
        <w:rPr>
          <w:lang w:val="en-GB"/>
        </w:rPr>
        <w:t xml:space="preserve">simultaneous UL </w:t>
      </w:r>
      <w:r w:rsidR="00DF2243" w:rsidRPr="00240171">
        <w:rPr>
          <w:lang w:val="en-GB"/>
        </w:rPr>
        <w:t>P</w:t>
      </w:r>
      <w:r w:rsidR="0055637C">
        <w:rPr>
          <w:lang w:val="en-GB"/>
        </w:rPr>
        <w:t>U</w:t>
      </w:r>
      <w:r w:rsidR="00DF2243" w:rsidRPr="00240171">
        <w:rPr>
          <w:lang w:val="en-GB"/>
        </w:rPr>
        <w:t>CCH</w:t>
      </w:r>
      <w:r w:rsidR="00240171" w:rsidRPr="00240171">
        <w:rPr>
          <w:lang w:val="en-GB"/>
        </w:rPr>
        <w:t>s</w:t>
      </w:r>
      <w:r w:rsidR="00DF2243" w:rsidRPr="00240171">
        <w:rPr>
          <w:lang w:val="en-GB"/>
        </w:rPr>
        <w:t>/PUSCHs</w:t>
      </w:r>
      <w:r w:rsidR="00D6714D" w:rsidRPr="00240171">
        <w:rPr>
          <w:lang w:val="en-GB"/>
        </w:rPr>
        <w:t xml:space="preserve"> is 2</w:t>
      </w:r>
      <w:r w:rsidR="00302468">
        <w:rPr>
          <w:lang w:val="en-GB"/>
        </w:rPr>
        <w:t>, even in case of multiple BWPs per CC</w:t>
      </w:r>
      <w:r w:rsidR="001A7487">
        <w:rPr>
          <w:lang w:val="en-GB"/>
        </w:rPr>
        <w:t>.</w:t>
      </w:r>
      <w:r w:rsidR="00980A49">
        <w:rPr>
          <w:lang w:val="en-GB"/>
        </w:rPr>
        <w:t xml:space="preserve"> Since it has been agreed that different PDSCHs are scheduled by different PDCCHs, different PUSCH shall also be sch</w:t>
      </w:r>
      <w:r w:rsidR="00455DED">
        <w:rPr>
          <w:lang w:val="en-GB"/>
        </w:rPr>
        <w:t>e</w:t>
      </w:r>
      <w:r w:rsidR="00980A49">
        <w:rPr>
          <w:lang w:val="en-GB"/>
        </w:rPr>
        <w:t>duled by different PDCCH.</w:t>
      </w:r>
    </w:p>
    <w:p w14:paraId="7D40546B" w14:textId="7FD198E8" w:rsidR="00240171" w:rsidRDefault="00240171" w:rsidP="00240171">
      <w:pPr>
        <w:spacing w:before="180"/>
        <w:jc w:val="both"/>
        <w:rPr>
          <w:rFonts w:eastAsia="MS Mincho"/>
          <w:b/>
          <w:i/>
          <w:lang w:eastAsia="ja-JP"/>
        </w:rPr>
      </w:pPr>
      <w:r w:rsidRPr="00240171">
        <w:rPr>
          <w:b/>
          <w:i/>
        </w:rPr>
        <w:lastRenderedPageBreak/>
        <w:t xml:space="preserve">Proposal </w:t>
      </w:r>
      <w:r w:rsidR="000C0396">
        <w:rPr>
          <w:b/>
          <w:i/>
        </w:rPr>
        <w:t>4</w:t>
      </w:r>
      <w:r w:rsidRPr="00240171">
        <w:rPr>
          <w:b/>
          <w:i/>
        </w:rPr>
        <w:t xml:space="preserve">: </w:t>
      </w:r>
      <w:r w:rsidR="00980A49">
        <w:rPr>
          <w:b/>
          <w:i/>
        </w:rPr>
        <w:t xml:space="preserve">Different PUSCHs are scheduled </w:t>
      </w:r>
      <w:r w:rsidR="007F17E3">
        <w:rPr>
          <w:b/>
          <w:i/>
        </w:rPr>
        <w:t xml:space="preserve">by different PDCCHs and </w:t>
      </w:r>
      <w:r w:rsidR="007F17E3">
        <w:rPr>
          <w:rFonts w:eastAsia="MS Mincho"/>
          <w:b/>
          <w:i/>
          <w:lang w:eastAsia="ja-JP"/>
        </w:rPr>
        <w:t>t</w:t>
      </w:r>
      <w:r w:rsidRPr="00240171">
        <w:rPr>
          <w:rFonts w:eastAsia="MS Mincho"/>
          <w:b/>
          <w:i/>
          <w:lang w:eastAsia="ja-JP"/>
        </w:rPr>
        <w:t>he maximum supported number of UL NR-P</w:t>
      </w:r>
      <w:r w:rsidR="00302468">
        <w:rPr>
          <w:rFonts w:eastAsia="MS Mincho"/>
          <w:b/>
          <w:i/>
          <w:lang w:eastAsia="ja-JP"/>
        </w:rPr>
        <w:t>U</w:t>
      </w:r>
      <w:r w:rsidRPr="00240171">
        <w:rPr>
          <w:rFonts w:eastAsia="MS Mincho"/>
          <w:b/>
          <w:i/>
          <w:lang w:eastAsia="ja-JP"/>
        </w:rPr>
        <w:t xml:space="preserve">CCHs/PUSCHs is </w:t>
      </w:r>
      <w:r w:rsidR="00BE1DBA">
        <w:rPr>
          <w:rFonts w:eastAsia="MS Mincho"/>
          <w:b/>
          <w:i/>
          <w:lang w:eastAsia="ja-JP"/>
        </w:rPr>
        <w:t>2 per CC, regardless of number of active BWPs per CC</w:t>
      </w:r>
      <w:r w:rsidR="007C0EBF">
        <w:rPr>
          <w:rFonts w:eastAsia="MS Mincho"/>
          <w:b/>
          <w:i/>
          <w:lang w:eastAsia="ja-JP"/>
        </w:rPr>
        <w:t>.</w:t>
      </w:r>
    </w:p>
    <w:p w14:paraId="15BEF2B4" w14:textId="77777777" w:rsidR="007F17E3" w:rsidRDefault="007F17E3" w:rsidP="00B707F7">
      <w:pPr>
        <w:jc w:val="both"/>
        <w:rPr>
          <w:lang w:val="en-GB"/>
        </w:rPr>
      </w:pPr>
      <w:r>
        <w:rPr>
          <w:lang w:val="en-GB"/>
        </w:rPr>
        <w:t>In multi-link operation</w:t>
      </w:r>
      <w:r w:rsidR="001A7487">
        <w:rPr>
          <w:lang w:val="en-GB"/>
        </w:rPr>
        <w:t xml:space="preserve">, there could be different association of PUCCH and PDCCH. An immediate option is to have </w:t>
      </w:r>
      <w:r>
        <w:rPr>
          <w:lang w:val="en-GB"/>
        </w:rPr>
        <w:t xml:space="preserve">two different </w:t>
      </w:r>
      <w:r w:rsidR="001A7487">
        <w:rPr>
          <w:lang w:val="en-GB"/>
        </w:rPr>
        <w:t>PU</w:t>
      </w:r>
      <w:r>
        <w:rPr>
          <w:lang w:val="en-GB"/>
        </w:rPr>
        <w:t>CCHs</w:t>
      </w:r>
      <w:r w:rsidR="001A7487">
        <w:rPr>
          <w:lang w:val="en-GB"/>
        </w:rPr>
        <w:t xml:space="preserve"> associated with </w:t>
      </w:r>
      <w:r>
        <w:rPr>
          <w:lang w:val="en-GB"/>
        </w:rPr>
        <w:t xml:space="preserve">two </w:t>
      </w:r>
      <w:r w:rsidR="001A7487">
        <w:rPr>
          <w:lang w:val="en-GB"/>
        </w:rPr>
        <w:t>PDCCH</w:t>
      </w:r>
      <w:r>
        <w:rPr>
          <w:lang w:val="en-GB"/>
        </w:rPr>
        <w:t>s</w:t>
      </w:r>
      <w:r w:rsidR="001A7487">
        <w:rPr>
          <w:lang w:val="en-GB"/>
        </w:rPr>
        <w:t xml:space="preserve">, </w:t>
      </w:r>
      <w:r>
        <w:rPr>
          <w:lang w:val="en-GB"/>
        </w:rPr>
        <w:t>one for each. A</w:t>
      </w:r>
      <w:r w:rsidR="001A7487">
        <w:rPr>
          <w:lang w:val="en-GB"/>
        </w:rPr>
        <w:t xml:space="preserve"> PUCCH </w:t>
      </w:r>
      <w:r>
        <w:rPr>
          <w:lang w:val="en-GB"/>
        </w:rPr>
        <w:t xml:space="preserve">beam </w:t>
      </w:r>
      <w:r w:rsidR="001A7487">
        <w:rPr>
          <w:lang w:val="en-GB"/>
        </w:rPr>
        <w:t xml:space="preserve">could be the corresponding PUSCH beam or a slightly wide beam. Another option could be </w:t>
      </w:r>
      <w:r>
        <w:rPr>
          <w:lang w:val="en-GB"/>
        </w:rPr>
        <w:t xml:space="preserve">to have </w:t>
      </w:r>
      <w:r w:rsidR="001A7487">
        <w:rPr>
          <w:lang w:val="en-GB"/>
        </w:rPr>
        <w:t>one PUCCH associated with two PDCCH</w:t>
      </w:r>
      <w:r>
        <w:rPr>
          <w:lang w:val="en-GB"/>
        </w:rPr>
        <w:t>s</w:t>
      </w:r>
      <w:r w:rsidR="001A7487">
        <w:rPr>
          <w:lang w:val="en-GB"/>
        </w:rPr>
        <w:t xml:space="preserve"> in which the exact PUCCH beam may be dynamically </w:t>
      </w:r>
      <w:r w:rsidR="00980A49">
        <w:rPr>
          <w:lang w:val="en-GB"/>
        </w:rPr>
        <w:t xml:space="preserve">determined by gNB or UE based on some metric. </w:t>
      </w:r>
      <w:r w:rsidR="001A7487">
        <w:rPr>
          <w:lang w:val="en-GB"/>
        </w:rPr>
        <w:t xml:space="preserve"> </w:t>
      </w:r>
    </w:p>
    <w:p w14:paraId="15788A8D" w14:textId="0F513923" w:rsidR="007F17E3" w:rsidRDefault="007F17E3" w:rsidP="007F17E3">
      <w:pPr>
        <w:spacing w:before="180"/>
        <w:jc w:val="both"/>
        <w:rPr>
          <w:rFonts w:eastAsia="MS Mincho"/>
          <w:b/>
          <w:i/>
          <w:lang w:eastAsia="ja-JP"/>
        </w:rPr>
      </w:pPr>
      <w:r w:rsidRPr="00240171">
        <w:rPr>
          <w:b/>
          <w:i/>
        </w:rPr>
        <w:t xml:space="preserve">Proposal </w:t>
      </w:r>
      <w:r>
        <w:rPr>
          <w:b/>
          <w:i/>
        </w:rPr>
        <w:t>5</w:t>
      </w:r>
      <w:r w:rsidRPr="00240171">
        <w:rPr>
          <w:b/>
          <w:i/>
        </w:rPr>
        <w:t xml:space="preserve">: </w:t>
      </w:r>
      <w:r w:rsidR="0054717E">
        <w:rPr>
          <w:rFonts w:eastAsia="MS Mincho"/>
          <w:b/>
          <w:i/>
          <w:lang w:eastAsia="ja-JP"/>
        </w:rPr>
        <w:t>T</w:t>
      </w:r>
      <w:r w:rsidRPr="00240171">
        <w:rPr>
          <w:rFonts w:eastAsia="MS Mincho"/>
          <w:b/>
          <w:i/>
          <w:lang w:eastAsia="ja-JP"/>
        </w:rPr>
        <w:t xml:space="preserve">he maximum supported number of </w:t>
      </w:r>
      <w:r>
        <w:rPr>
          <w:rFonts w:eastAsia="MS Mincho"/>
          <w:b/>
          <w:i/>
          <w:lang w:eastAsia="ja-JP"/>
        </w:rPr>
        <w:t>PUCCH links</w:t>
      </w:r>
      <w:r w:rsidRPr="00240171">
        <w:rPr>
          <w:rFonts w:eastAsia="MS Mincho"/>
          <w:b/>
          <w:i/>
          <w:lang w:eastAsia="ja-JP"/>
        </w:rPr>
        <w:t xml:space="preserve"> is 2</w:t>
      </w:r>
      <w:r w:rsidR="00302468">
        <w:rPr>
          <w:rFonts w:eastAsia="MS Mincho"/>
          <w:b/>
          <w:i/>
          <w:lang w:eastAsia="ja-JP"/>
        </w:rPr>
        <w:t xml:space="preserve"> in the case of multiple BWPs per CC</w:t>
      </w:r>
      <w:r>
        <w:rPr>
          <w:rFonts w:eastAsia="MS Mincho"/>
          <w:b/>
          <w:i/>
          <w:lang w:eastAsia="ja-JP"/>
        </w:rPr>
        <w:t xml:space="preserve"> and it can be smaller than the number of PDCCH links.</w:t>
      </w:r>
    </w:p>
    <w:p w14:paraId="4F087243" w14:textId="66499A08" w:rsidR="0010711A" w:rsidRDefault="007F17E3" w:rsidP="00B707F7">
      <w:pPr>
        <w:jc w:val="both"/>
      </w:pPr>
      <w:r>
        <w:rPr>
          <w:lang w:val="en-GB"/>
        </w:rPr>
        <w:t xml:space="preserve">Note </w:t>
      </w:r>
      <w:r w:rsidR="00D036E8">
        <w:rPr>
          <w:lang w:val="en-GB"/>
        </w:rPr>
        <w:t>that</w:t>
      </w:r>
      <w:r w:rsidR="00D036E8" w:rsidRPr="00D036E8">
        <w:rPr>
          <w:lang w:val="en-GB"/>
        </w:rPr>
        <w:t xml:space="preserve"> </w:t>
      </w:r>
      <w:r w:rsidR="009135BC">
        <w:rPr>
          <w:lang w:val="en-GB"/>
        </w:rPr>
        <w:t>two NR-PDCCH/NPUSCH links</w:t>
      </w:r>
      <w:r w:rsidR="00D036E8">
        <w:rPr>
          <w:lang w:val="en-GB"/>
        </w:rPr>
        <w:t xml:space="preserve"> can </w:t>
      </w:r>
      <w:r w:rsidR="00D036E8" w:rsidRPr="00D036E8">
        <w:rPr>
          <w:lang w:val="en-GB"/>
        </w:rPr>
        <w:t>improve throughput as well as robustness against antenna array block</w:t>
      </w:r>
      <w:r w:rsidR="009135BC">
        <w:rPr>
          <w:lang w:val="en-GB"/>
        </w:rPr>
        <w:t>age</w:t>
      </w:r>
      <w:r w:rsidR="00D036E8" w:rsidRPr="00D036E8">
        <w:rPr>
          <w:lang w:val="en-GB"/>
        </w:rPr>
        <w:t>.</w:t>
      </w:r>
      <w:r w:rsidR="00D036E8">
        <w:rPr>
          <w:lang w:val="en-GB"/>
        </w:rPr>
        <w:t xml:space="preserve">  </w:t>
      </w:r>
      <w:r w:rsidR="009135BC">
        <w:rPr>
          <w:lang w:val="en-GB"/>
        </w:rPr>
        <w:t xml:space="preserve">To fully make use of the benefit of two control/data links, beam management </w:t>
      </w:r>
      <w:r w:rsidR="0010711A">
        <w:rPr>
          <w:lang w:val="en-GB"/>
        </w:rPr>
        <w:t>associated with</w:t>
      </w:r>
      <w:r w:rsidR="009135BC">
        <w:rPr>
          <w:lang w:val="en-GB"/>
        </w:rPr>
        <w:t xml:space="preserve"> one link </w:t>
      </w:r>
      <w:r w:rsidR="007C0EBF">
        <w:rPr>
          <w:lang w:val="en-GB"/>
        </w:rPr>
        <w:t>using PUCCH over</w:t>
      </w:r>
      <w:r w:rsidR="009135BC">
        <w:rPr>
          <w:lang w:val="en-GB"/>
        </w:rPr>
        <w:t xml:space="preserve"> another link should be supported. </w:t>
      </w:r>
      <w:r w:rsidR="0010711A">
        <w:rPr>
          <w:lang w:val="en-GB"/>
        </w:rPr>
        <w:t>For instance, a working beam can be used to report a sudden change/failure of another beam so as to invoke cor</w:t>
      </w:r>
      <w:r w:rsidR="0045303B">
        <w:rPr>
          <w:lang w:val="en-GB"/>
        </w:rPr>
        <w:t>r</w:t>
      </w:r>
      <w:r w:rsidR="0010711A">
        <w:rPr>
          <w:lang w:val="en-GB"/>
        </w:rPr>
        <w:t>esponding beam managemen</w:t>
      </w:r>
      <w:r w:rsidR="0045303B">
        <w:rPr>
          <w:lang w:val="en-GB"/>
        </w:rPr>
        <w:t>t</w:t>
      </w:r>
      <w:r w:rsidR="0010711A">
        <w:rPr>
          <w:lang w:val="en-GB"/>
        </w:rPr>
        <w:t xml:space="preserve"> procedure.</w:t>
      </w:r>
    </w:p>
    <w:p w14:paraId="03AB3B2D" w14:textId="767FC941" w:rsidR="007D6999" w:rsidRDefault="000C0396" w:rsidP="0054717E">
      <w:pPr>
        <w:rPr>
          <w:b/>
          <w:i/>
          <w:lang w:val="en-GB"/>
        </w:rPr>
      </w:pPr>
      <w:r>
        <w:rPr>
          <w:b/>
          <w:i/>
          <w:lang w:val="en-GB"/>
        </w:rPr>
        <w:t xml:space="preserve">Proposal </w:t>
      </w:r>
      <w:r w:rsidR="0054717E">
        <w:rPr>
          <w:b/>
          <w:i/>
          <w:lang w:val="en-GB"/>
        </w:rPr>
        <w:t>6</w:t>
      </w:r>
      <w:r w:rsidR="0010711A" w:rsidRPr="0054717E">
        <w:rPr>
          <w:b/>
          <w:i/>
          <w:lang w:val="en-GB"/>
        </w:rPr>
        <w:t>: Support beam management/reporting of a beam pair using PUCCH over a second beam pair.</w:t>
      </w:r>
    </w:p>
    <w:p w14:paraId="1EA96268" w14:textId="77777777" w:rsidR="00F70C9B" w:rsidRDefault="00F70C9B" w:rsidP="00F70C9B">
      <w:pPr>
        <w:jc w:val="both"/>
        <w:rPr>
          <w:lang w:val="en-GB"/>
        </w:rPr>
      </w:pPr>
      <w:r w:rsidRPr="008D2004">
        <w:rPr>
          <w:lang w:val="en-GB"/>
        </w:rPr>
        <w:t xml:space="preserve">A </w:t>
      </w:r>
      <w:r>
        <w:rPr>
          <w:lang w:val="en-GB"/>
        </w:rPr>
        <w:t xml:space="preserve">key aspect for supporting robustness is to configure different PDCCH beam monitoring patterns, which can be dynamically changed via DCI/MAC CE. A PDCCH beam monitoring pattern is a function that maps the CORESET/PDCCH candidate in a given slot/mini-slot to a BPL. </w:t>
      </w:r>
    </w:p>
    <w:p w14:paraId="6330F83C" w14:textId="63FAACE3" w:rsidR="00F70C9B" w:rsidRPr="00220709" w:rsidRDefault="00F70C9B" w:rsidP="00F70C9B">
      <w:pPr>
        <w:tabs>
          <w:tab w:val="num" w:pos="2160"/>
        </w:tabs>
        <w:jc w:val="both"/>
        <w:rPr>
          <w:i/>
          <w:lang w:eastAsia="zh-CN"/>
        </w:rPr>
      </w:pPr>
      <w:r w:rsidRPr="000D46E9">
        <w:rPr>
          <w:b/>
          <w:i/>
          <w:lang w:eastAsia="zh-CN"/>
        </w:rPr>
        <w:t xml:space="preserve">Proposal </w:t>
      </w:r>
      <w:r w:rsidR="001D5F6A" w:rsidRPr="000D46E9">
        <w:rPr>
          <w:b/>
          <w:i/>
          <w:lang w:eastAsia="zh-CN"/>
        </w:rPr>
        <w:t>7</w:t>
      </w:r>
      <w:r w:rsidRPr="000D46E9">
        <w:rPr>
          <w:b/>
          <w:i/>
          <w:lang w:eastAsia="zh-CN"/>
        </w:rPr>
        <w:t>:</w:t>
      </w:r>
      <w:r w:rsidRPr="00220709">
        <w:rPr>
          <w:b/>
          <w:bCs/>
          <w:i/>
          <w:lang w:eastAsia="zh-CN"/>
        </w:rPr>
        <w:t xml:space="preserve">  </w:t>
      </w:r>
      <w:r w:rsidR="001D5F6A" w:rsidRPr="000D46E9">
        <w:rPr>
          <w:b/>
          <w:i/>
          <w:lang w:eastAsia="zh-CN"/>
        </w:rPr>
        <w:t>S</w:t>
      </w:r>
      <w:r w:rsidRPr="000D46E9">
        <w:rPr>
          <w:b/>
          <w:i/>
          <w:lang w:eastAsia="zh-CN"/>
        </w:rPr>
        <w:t xml:space="preserve">upport gNB configuration of UE to transmit PUCCH using one or more beams derived from Rx Beams corresponding to SS/CSI-RS port sets or PDCCH DMRS Ports. </w:t>
      </w:r>
    </w:p>
    <w:p w14:paraId="4C3921B9" w14:textId="77777777" w:rsidR="00F70C9B" w:rsidRDefault="00F70C9B" w:rsidP="00F70C9B">
      <w:pPr>
        <w:tabs>
          <w:tab w:val="num" w:pos="2160"/>
        </w:tabs>
        <w:jc w:val="both"/>
        <w:rPr>
          <w:lang w:val="en-GB"/>
        </w:rPr>
      </w:pPr>
      <w:r>
        <w:rPr>
          <w:lang w:val="en-GB"/>
        </w:rPr>
        <w:t>A PUCCH beam derivation rule is a mapping from the subset of monitored PDCCH beams in a slot/mini-slot to a subset of PUCCH beams. gNB may choose a beam monitoring pattern for monitoring PDCCH and configure UE with the monitoring pattern. gnB can also define a set of rules for deriving the PUCCH beam to transmit based on the monitored beams on a given slot/minislot. For example a rule could be:  if UE monitors PDCCH beam k for PDCCH in the current slot, then it should transmit PUCCH beam derived from PDCCH DMRS ports corresponding to PDCCH beam k. Another example of a rule is, UE always transmits PUCCH beam derived from P</w:t>
      </w:r>
      <w:bookmarkStart w:id="2" w:name="_GoBack"/>
      <w:bookmarkEnd w:id="2"/>
      <w:r>
        <w:rPr>
          <w:lang w:val="en-GB"/>
        </w:rPr>
        <w:t>DCCH DMRS port of Beam 1, irrespective of the DL PDCCH beam monitored in the current slot. The configuration of these rules could be performed in RRC or MAC CE. Another approach is gNB directly indicating via PDCCH the PUCCH beam to use. For instance, PUCCH beam associated with PDCCH beam 2 is degraded, PDCCH transmitted over beam 2 can signal the use of PUCCH beam 1 in DCI.</w:t>
      </w:r>
    </w:p>
    <w:p w14:paraId="46CF8D93" w14:textId="22C762EC" w:rsidR="00F70C9B" w:rsidRDefault="00F70C9B" w:rsidP="00F70C9B">
      <w:pPr>
        <w:tabs>
          <w:tab w:val="num" w:pos="2160"/>
          <w:tab w:val="num" w:pos="2880"/>
        </w:tabs>
        <w:jc w:val="both"/>
        <w:rPr>
          <w:i/>
          <w:lang w:eastAsia="zh-CN"/>
        </w:rPr>
      </w:pPr>
      <w:r w:rsidRPr="000D46E9">
        <w:rPr>
          <w:b/>
          <w:i/>
          <w:lang w:eastAsia="zh-CN"/>
        </w:rPr>
        <w:t xml:space="preserve">Proposal </w:t>
      </w:r>
      <w:r w:rsidR="001D5F6A" w:rsidRPr="000D46E9">
        <w:rPr>
          <w:b/>
          <w:i/>
          <w:lang w:eastAsia="zh-CN"/>
        </w:rPr>
        <w:t>8</w:t>
      </w:r>
      <w:r w:rsidRPr="00716BB4">
        <w:rPr>
          <w:b/>
          <w:i/>
          <w:lang w:eastAsia="zh-CN"/>
        </w:rPr>
        <w:t>:</w:t>
      </w:r>
      <w:r w:rsidRPr="00716BB4">
        <w:rPr>
          <w:i/>
          <w:lang w:eastAsia="zh-CN"/>
        </w:rPr>
        <w:t xml:space="preserve"> </w:t>
      </w:r>
      <w:r w:rsidRPr="000D46E9">
        <w:rPr>
          <w:b/>
          <w:i/>
          <w:lang w:eastAsia="zh-CN"/>
        </w:rPr>
        <w:t>Support PDCCH and PUCCH pairing by RRC configuration and signaling through DCI.</w:t>
      </w:r>
    </w:p>
    <w:p w14:paraId="607C9672" w14:textId="77777777" w:rsidR="00F70C9B" w:rsidRDefault="00F70C9B" w:rsidP="0054717E">
      <w:pPr>
        <w:rPr>
          <w:b/>
          <w:i/>
        </w:rPr>
      </w:pPr>
    </w:p>
    <w:p w14:paraId="6F9A3208" w14:textId="1278A780" w:rsidR="000C0396" w:rsidRPr="004143DC" w:rsidRDefault="000C0396" w:rsidP="0054717E">
      <w:pPr>
        <w:pStyle w:val="Heading1"/>
      </w:pPr>
      <w:r>
        <w:t>Summary</w:t>
      </w:r>
    </w:p>
    <w:p w14:paraId="1299B66B" w14:textId="6B4BBA14" w:rsidR="00EA7D06" w:rsidRDefault="00EA7D06" w:rsidP="00B707F7">
      <w:pPr>
        <w:jc w:val="both"/>
      </w:pPr>
      <w:r>
        <w:rPr>
          <w:lang w:val="en-GB"/>
        </w:rPr>
        <w:t xml:space="preserve">In this contribution, we </w:t>
      </w:r>
      <w:r w:rsidR="000C0396">
        <w:rPr>
          <w:lang w:val="en-GB"/>
        </w:rPr>
        <w:t xml:space="preserve">have </w:t>
      </w:r>
      <w:r>
        <w:rPr>
          <w:lang w:val="en-GB"/>
        </w:rPr>
        <w:t>discuss</w:t>
      </w:r>
      <w:r w:rsidR="000C0396">
        <w:rPr>
          <w:lang w:val="en-GB"/>
        </w:rPr>
        <w:t>ed</w:t>
      </w:r>
      <w:r>
        <w:rPr>
          <w:lang w:val="en-GB"/>
        </w:rPr>
        <w:t xml:space="preserve"> multi-TRP/multi-panel transmission for both DL and UL</w:t>
      </w:r>
      <w:r w:rsidR="008C2652">
        <w:rPr>
          <w:lang w:val="en-GB"/>
        </w:rPr>
        <w:t>.</w:t>
      </w:r>
      <w:r w:rsidR="000C0396">
        <w:rPr>
          <w:lang w:val="en-GB"/>
        </w:rPr>
        <w:t xml:space="preserve"> </w:t>
      </w:r>
      <w:r w:rsidR="008C2652">
        <w:t>W</w:t>
      </w:r>
      <w:r>
        <w:t xml:space="preserve">e </w:t>
      </w:r>
      <w:r w:rsidR="000C0396">
        <w:t xml:space="preserve">have the following </w:t>
      </w:r>
      <w:r>
        <w:t>propos</w:t>
      </w:r>
      <w:r w:rsidR="000C0396">
        <w:t>itions</w:t>
      </w:r>
      <w:r>
        <w:t>:</w:t>
      </w:r>
    </w:p>
    <w:p w14:paraId="447305E6" w14:textId="4D7E78A2" w:rsidR="00BE1DBA" w:rsidRDefault="00BE1DBA" w:rsidP="00827D90">
      <w:pPr>
        <w:spacing w:before="120" w:after="120"/>
        <w:ind w:left="1080" w:hanging="1080"/>
        <w:jc w:val="both"/>
        <w:rPr>
          <w:b/>
          <w:i/>
        </w:rPr>
      </w:pPr>
      <w:r w:rsidRPr="00BE1DBA">
        <w:rPr>
          <w:b/>
          <w:i/>
        </w:rPr>
        <w:t xml:space="preserve">Proposal 1: </w:t>
      </w:r>
      <w:r>
        <w:rPr>
          <w:b/>
          <w:i/>
        </w:rPr>
        <w:tab/>
      </w:r>
      <w:r w:rsidRPr="00BE1DBA">
        <w:rPr>
          <w:b/>
          <w:i/>
        </w:rPr>
        <w:t>The maximum supported number of DL NR-PDCCHs/PDSCHs is 2 in case of two or more BWPs per CC.</w:t>
      </w:r>
    </w:p>
    <w:p w14:paraId="30A884BF" w14:textId="54C0118D" w:rsidR="00EA7D06" w:rsidRDefault="00827D90" w:rsidP="00827D90">
      <w:pPr>
        <w:spacing w:before="120" w:after="120"/>
        <w:ind w:left="1080" w:hanging="1080"/>
        <w:jc w:val="both"/>
        <w:rPr>
          <w:b/>
          <w:i/>
        </w:rPr>
      </w:pPr>
      <w:r>
        <w:rPr>
          <w:b/>
          <w:i/>
        </w:rPr>
        <w:t xml:space="preserve">Proposal </w:t>
      </w:r>
      <w:r w:rsidR="008C2652">
        <w:rPr>
          <w:b/>
          <w:i/>
        </w:rPr>
        <w:t>2</w:t>
      </w:r>
      <w:r>
        <w:rPr>
          <w:b/>
          <w:i/>
        </w:rPr>
        <w:t>:</w:t>
      </w:r>
      <w:r>
        <w:rPr>
          <w:b/>
          <w:i/>
        </w:rPr>
        <w:tab/>
      </w:r>
      <w:r w:rsidR="00EA7D06" w:rsidRPr="00240171">
        <w:rPr>
          <w:b/>
          <w:i/>
        </w:rPr>
        <w:t xml:space="preserve">Support dynamic signaling to report the </w:t>
      </w:r>
      <w:r w:rsidR="000C0396">
        <w:rPr>
          <w:b/>
          <w:i/>
        </w:rPr>
        <w:t xml:space="preserve">supported </w:t>
      </w:r>
      <w:r w:rsidR="00EA7D06" w:rsidRPr="00240171">
        <w:rPr>
          <w:b/>
          <w:i/>
        </w:rPr>
        <w:t>number of NR-PDCCHs/PDSCHs from UE to gNB.  The detailed signaling mechanism is FFS.</w:t>
      </w:r>
    </w:p>
    <w:p w14:paraId="70F58B68" w14:textId="4741D0E4" w:rsidR="008C2652" w:rsidRPr="00240171" w:rsidRDefault="008C2652" w:rsidP="008C2652">
      <w:pPr>
        <w:tabs>
          <w:tab w:val="left" w:pos="2160"/>
        </w:tabs>
        <w:spacing w:before="120" w:after="120" w:line="259" w:lineRule="auto"/>
        <w:ind w:left="1080" w:hanging="1080"/>
        <w:jc w:val="both"/>
      </w:pPr>
      <w:r>
        <w:rPr>
          <w:b/>
          <w:i/>
        </w:rPr>
        <w:t>Proposal 3:</w:t>
      </w:r>
      <w:r>
        <w:rPr>
          <w:b/>
          <w:i/>
        </w:rPr>
        <w:tab/>
      </w:r>
      <w:r w:rsidRPr="00240171">
        <w:rPr>
          <w:b/>
          <w:i/>
        </w:rPr>
        <w:t>Consider reciprocity-based coherent JT use cases and compatibility in designing NR channels and procedures and in performance evaluations.</w:t>
      </w:r>
    </w:p>
    <w:p w14:paraId="0F1E2423" w14:textId="256DDFC3" w:rsidR="0015642B" w:rsidRPr="003F2904" w:rsidRDefault="0015642B" w:rsidP="003F2904">
      <w:pPr>
        <w:tabs>
          <w:tab w:val="left" w:pos="2160"/>
        </w:tabs>
        <w:spacing w:before="120" w:after="120" w:line="259" w:lineRule="auto"/>
        <w:ind w:left="1080" w:hanging="1080"/>
        <w:jc w:val="both"/>
        <w:rPr>
          <w:b/>
          <w:i/>
        </w:rPr>
      </w:pPr>
      <w:r w:rsidRPr="00240171">
        <w:rPr>
          <w:b/>
          <w:i/>
        </w:rPr>
        <w:t xml:space="preserve">Proposal </w:t>
      </w:r>
      <w:r>
        <w:rPr>
          <w:b/>
          <w:i/>
        </w:rPr>
        <w:t>4</w:t>
      </w:r>
      <w:r w:rsidRPr="00240171">
        <w:rPr>
          <w:b/>
          <w:i/>
        </w:rPr>
        <w:t xml:space="preserve">: </w:t>
      </w:r>
      <w:r w:rsidR="00BE1DBA">
        <w:rPr>
          <w:b/>
          <w:i/>
        </w:rPr>
        <w:tab/>
      </w:r>
      <w:r w:rsidR="00BE1DBA" w:rsidRPr="00BE1DBA">
        <w:rPr>
          <w:b/>
          <w:i/>
        </w:rPr>
        <w:t xml:space="preserve">Different PUSCHs are scheduled by different PDCCHs and the maximum supported number of UL NR-PUCCHs/PUSCHs is 2 per CC, regardless of number of active BWPs per CC. </w:t>
      </w:r>
    </w:p>
    <w:p w14:paraId="43178363" w14:textId="4F31A696" w:rsidR="0015642B" w:rsidRPr="003F2904" w:rsidRDefault="0054717E" w:rsidP="003F2904">
      <w:pPr>
        <w:tabs>
          <w:tab w:val="left" w:pos="2160"/>
        </w:tabs>
        <w:spacing w:before="120" w:after="120" w:line="259" w:lineRule="auto"/>
        <w:ind w:left="1080" w:hanging="1080"/>
        <w:jc w:val="both"/>
        <w:rPr>
          <w:b/>
          <w:i/>
        </w:rPr>
      </w:pPr>
      <w:r w:rsidRPr="00240171">
        <w:rPr>
          <w:b/>
          <w:i/>
        </w:rPr>
        <w:t xml:space="preserve">Proposal </w:t>
      </w:r>
      <w:r>
        <w:rPr>
          <w:b/>
          <w:i/>
        </w:rPr>
        <w:t>5</w:t>
      </w:r>
      <w:r w:rsidRPr="00240171">
        <w:rPr>
          <w:b/>
          <w:i/>
        </w:rPr>
        <w:t>:</w:t>
      </w:r>
      <w:r w:rsidR="00827D90">
        <w:rPr>
          <w:b/>
          <w:i/>
        </w:rPr>
        <w:tab/>
      </w:r>
      <w:r w:rsidR="0015642B" w:rsidRPr="003F2904">
        <w:rPr>
          <w:b/>
          <w:i/>
        </w:rPr>
        <w:t>The maximum supported number of PUCCH links is 2 in the case of multiple BWPs per CC and it can be smaller than the number of PDCCH links.</w:t>
      </w:r>
    </w:p>
    <w:p w14:paraId="390052EC" w14:textId="7CDCFE65" w:rsidR="0015642B" w:rsidRDefault="0015642B" w:rsidP="0015642B">
      <w:pPr>
        <w:rPr>
          <w:b/>
          <w:i/>
          <w:lang w:val="en-GB"/>
        </w:rPr>
      </w:pPr>
      <w:r>
        <w:rPr>
          <w:b/>
          <w:i/>
          <w:lang w:val="en-GB"/>
        </w:rPr>
        <w:t>Proposal 6</w:t>
      </w:r>
      <w:r w:rsidRPr="0054717E">
        <w:rPr>
          <w:b/>
          <w:i/>
          <w:lang w:val="en-GB"/>
        </w:rPr>
        <w:t>: Support beam management/reporting of a beam pair using PUCCH over a second beam pair.</w:t>
      </w:r>
    </w:p>
    <w:p w14:paraId="263F2BB9" w14:textId="5E2131E7" w:rsidR="00F70C9B" w:rsidRPr="00220709" w:rsidRDefault="001D5F6A" w:rsidP="00F70C9B">
      <w:pPr>
        <w:rPr>
          <w:i/>
          <w:lang w:eastAsia="zh-CN"/>
        </w:rPr>
      </w:pPr>
      <w:r w:rsidRPr="00BF7132">
        <w:rPr>
          <w:b/>
          <w:i/>
          <w:lang w:eastAsia="zh-CN"/>
        </w:rPr>
        <w:lastRenderedPageBreak/>
        <w:t>Proposal 7:</w:t>
      </w:r>
      <w:r w:rsidRPr="00220709">
        <w:rPr>
          <w:b/>
          <w:bCs/>
          <w:i/>
          <w:lang w:eastAsia="zh-CN"/>
        </w:rPr>
        <w:t xml:space="preserve">  </w:t>
      </w:r>
      <w:r w:rsidRPr="00BF7132">
        <w:rPr>
          <w:b/>
          <w:i/>
          <w:lang w:eastAsia="zh-CN"/>
        </w:rPr>
        <w:t xml:space="preserve">Support gNB configuration of UE to transmit PUCCH using one or more beams derived from Rx Beams corresponding to SS/CSI-RS port sets or PDCCH DMRS Ports. </w:t>
      </w:r>
    </w:p>
    <w:p w14:paraId="12AB1032" w14:textId="77777777" w:rsidR="001D5F6A" w:rsidRDefault="001D5F6A" w:rsidP="001D5F6A">
      <w:pPr>
        <w:tabs>
          <w:tab w:val="num" w:pos="2160"/>
          <w:tab w:val="num" w:pos="2880"/>
        </w:tabs>
        <w:jc w:val="both"/>
        <w:rPr>
          <w:i/>
          <w:lang w:eastAsia="zh-CN"/>
        </w:rPr>
      </w:pPr>
      <w:r w:rsidRPr="00BF7132">
        <w:rPr>
          <w:b/>
          <w:i/>
          <w:lang w:eastAsia="zh-CN"/>
        </w:rPr>
        <w:t>Proposal 8</w:t>
      </w:r>
      <w:r w:rsidRPr="000D46E9">
        <w:rPr>
          <w:b/>
          <w:i/>
          <w:lang w:eastAsia="zh-CN"/>
        </w:rPr>
        <w:t>:</w:t>
      </w:r>
      <w:r>
        <w:rPr>
          <w:i/>
          <w:lang w:eastAsia="zh-CN"/>
        </w:rPr>
        <w:t xml:space="preserve"> </w:t>
      </w:r>
      <w:r w:rsidRPr="00BF7132">
        <w:rPr>
          <w:b/>
          <w:i/>
          <w:lang w:eastAsia="zh-CN"/>
        </w:rPr>
        <w:t>Support PDCCH and PUCCH pairing by RRC configuration and signaling through DCI.</w:t>
      </w:r>
    </w:p>
    <w:p w14:paraId="482E1391" w14:textId="0C4B439B" w:rsidR="008D780F" w:rsidRPr="001109A6" w:rsidRDefault="001D5F6A" w:rsidP="008D780F">
      <w:pPr>
        <w:pStyle w:val="Heading1"/>
        <w:jc w:val="both"/>
      </w:pPr>
      <w:r w:rsidRPr="004348D5">
        <w:rPr>
          <w:b/>
          <w:i/>
          <w:u w:val="single"/>
          <w:lang w:eastAsia="zh-CN"/>
        </w:rPr>
        <w:t xml:space="preserve"> </w:t>
      </w:r>
      <w:r w:rsidR="008D780F" w:rsidRPr="001109A6">
        <w:t>References</w:t>
      </w:r>
    </w:p>
    <w:p w14:paraId="33F9090C" w14:textId="786C9402" w:rsidR="000D708E" w:rsidRDefault="000D708E" w:rsidP="00862B1F">
      <w:pPr>
        <w:pStyle w:val="References"/>
        <w:numPr>
          <w:ilvl w:val="0"/>
          <w:numId w:val="15"/>
        </w:numPr>
        <w:autoSpaceDE/>
        <w:autoSpaceDN/>
        <w:snapToGrid/>
        <w:spacing w:before="60" w:line="257" w:lineRule="auto"/>
        <w:rPr>
          <w:szCs w:val="20"/>
          <w:lang w:val="en-GB"/>
        </w:rPr>
      </w:pPr>
      <w:r>
        <w:rPr>
          <w:szCs w:val="20"/>
          <w:lang w:val="en-GB"/>
        </w:rPr>
        <w:t>Draft report of 3GPP TSG RAN WG1 NR Ad-Hoc #2.</w:t>
      </w:r>
    </w:p>
    <w:p w14:paraId="12B224EF" w14:textId="222D54FF" w:rsidR="009F1033" w:rsidRPr="009F1033" w:rsidRDefault="000D708E" w:rsidP="009F1033">
      <w:pPr>
        <w:pStyle w:val="References"/>
        <w:numPr>
          <w:ilvl w:val="0"/>
          <w:numId w:val="15"/>
        </w:numPr>
        <w:autoSpaceDE/>
        <w:autoSpaceDN/>
        <w:snapToGrid/>
        <w:spacing w:before="60" w:line="257" w:lineRule="auto"/>
        <w:rPr>
          <w:szCs w:val="20"/>
          <w:lang w:val="en-GB"/>
        </w:rPr>
      </w:pPr>
      <w:r>
        <w:rPr>
          <w:szCs w:val="20"/>
          <w:lang w:val="en-GB"/>
        </w:rPr>
        <w:t>Final</w:t>
      </w:r>
      <w:r w:rsidRPr="00603FFE">
        <w:rPr>
          <w:szCs w:val="20"/>
          <w:lang w:val="en-GB"/>
        </w:rPr>
        <w:t xml:space="preserve"> </w:t>
      </w:r>
      <w:r w:rsidR="008D780F" w:rsidRPr="00603FFE">
        <w:rPr>
          <w:szCs w:val="20"/>
          <w:lang w:val="en-GB"/>
        </w:rPr>
        <w:t xml:space="preserve">report of 3GPP TSG RAN </w:t>
      </w:r>
      <w:r>
        <w:rPr>
          <w:szCs w:val="20"/>
          <w:lang w:val="en-GB"/>
        </w:rPr>
        <w:t xml:space="preserve">WG1 </w:t>
      </w:r>
      <w:r w:rsidR="008D780F" w:rsidRPr="00603FFE">
        <w:rPr>
          <w:szCs w:val="20"/>
          <w:lang w:val="en-GB"/>
        </w:rPr>
        <w:t>#</w:t>
      </w:r>
      <w:r w:rsidR="008D780F">
        <w:rPr>
          <w:szCs w:val="20"/>
          <w:lang w:val="en-GB"/>
        </w:rPr>
        <w:t>89</w:t>
      </w:r>
      <w:r w:rsidR="008D780F" w:rsidRPr="00603FFE">
        <w:rPr>
          <w:szCs w:val="20"/>
          <w:lang w:val="en-GB"/>
        </w:rPr>
        <w:t>.</w:t>
      </w:r>
    </w:p>
    <w:p w14:paraId="17FF1C35" w14:textId="1BC04A09" w:rsidR="00D418A7" w:rsidRDefault="00D418A7" w:rsidP="00862B1F">
      <w:pPr>
        <w:pStyle w:val="References"/>
        <w:numPr>
          <w:ilvl w:val="0"/>
          <w:numId w:val="15"/>
        </w:numPr>
        <w:autoSpaceDE/>
        <w:autoSpaceDN/>
        <w:snapToGrid/>
        <w:spacing w:before="60" w:line="256" w:lineRule="auto"/>
        <w:jc w:val="left"/>
        <w:rPr>
          <w:lang w:val="en-GB"/>
        </w:rPr>
      </w:pPr>
      <w:bookmarkStart w:id="3" w:name="_Ref485217001"/>
      <w:r w:rsidRPr="004E1478">
        <w:rPr>
          <w:lang w:val="en-GB"/>
        </w:rPr>
        <w:t>R1-1708585</w:t>
      </w:r>
      <w:r>
        <w:rPr>
          <w:lang w:val="en-GB"/>
        </w:rPr>
        <w:t>, “</w:t>
      </w:r>
      <w:r w:rsidRPr="004E1478">
        <w:rPr>
          <w:lang w:val="en-GB"/>
        </w:rPr>
        <w:t>OTA calibration for multi-TRP transmission</w:t>
      </w:r>
      <w:r>
        <w:rPr>
          <w:lang w:val="en-GB"/>
        </w:rPr>
        <w:t xml:space="preserve">,” </w:t>
      </w:r>
      <w:bookmarkEnd w:id="3"/>
      <w:r w:rsidRPr="00D418A7">
        <w:rPr>
          <w:lang w:val="en-GB"/>
        </w:rPr>
        <w:t>Qualcomm Incorporated</w:t>
      </w:r>
      <w:r>
        <w:rPr>
          <w:lang w:val="en-GB"/>
        </w:rPr>
        <w:t>.</w:t>
      </w:r>
    </w:p>
    <w:p w14:paraId="3EAEC175" w14:textId="636239D0" w:rsidR="008B1459" w:rsidRDefault="00D418A7" w:rsidP="00862B1F">
      <w:pPr>
        <w:pStyle w:val="References"/>
        <w:numPr>
          <w:ilvl w:val="0"/>
          <w:numId w:val="15"/>
        </w:numPr>
        <w:autoSpaceDE/>
        <w:autoSpaceDN/>
        <w:snapToGrid/>
        <w:spacing w:before="60"/>
        <w:rPr>
          <w:lang w:val="en-GB"/>
        </w:rPr>
      </w:pPr>
      <w:r w:rsidRPr="00016952">
        <w:rPr>
          <w:lang w:val="en-GB"/>
        </w:rPr>
        <w:t>R1-1700799, “Network OTA reciprocity calibration and phase synchronization</w:t>
      </w:r>
      <w:r w:rsidR="00242F2A">
        <w:rPr>
          <w:lang w:val="en-GB"/>
        </w:rPr>
        <w:t>,</w:t>
      </w:r>
      <w:r w:rsidRPr="00016952">
        <w:rPr>
          <w:lang w:val="en-GB"/>
        </w:rPr>
        <w:t xml:space="preserve">” </w:t>
      </w:r>
      <w:r w:rsidRPr="00D418A7">
        <w:rPr>
          <w:lang w:val="en-GB"/>
        </w:rPr>
        <w:t>Qualcomm Incorporated</w:t>
      </w:r>
      <w:r w:rsidR="008D780F">
        <w:rPr>
          <w:lang w:val="en-GB"/>
        </w:rPr>
        <w:t>.</w:t>
      </w:r>
    </w:p>
    <w:p w14:paraId="2C45DC65" w14:textId="445030B8" w:rsidR="009F1033" w:rsidRDefault="009D2B94" w:rsidP="009F1033">
      <w:pPr>
        <w:pStyle w:val="References"/>
        <w:numPr>
          <w:ilvl w:val="0"/>
          <w:numId w:val="15"/>
        </w:numPr>
        <w:autoSpaceDE/>
        <w:autoSpaceDN/>
        <w:snapToGrid/>
        <w:spacing w:before="60"/>
        <w:rPr>
          <w:lang w:val="en-GB"/>
        </w:rPr>
      </w:pPr>
      <w:r w:rsidRPr="00016952">
        <w:rPr>
          <w:lang w:val="en-GB"/>
        </w:rPr>
        <w:t>R1-170</w:t>
      </w:r>
      <w:r>
        <w:rPr>
          <w:lang w:val="en-GB"/>
        </w:rPr>
        <w:t>5583</w:t>
      </w:r>
      <w:r w:rsidRPr="00016952">
        <w:rPr>
          <w:lang w:val="en-GB"/>
        </w:rPr>
        <w:t>, “</w:t>
      </w:r>
      <w:r w:rsidRPr="009D2B94">
        <w:rPr>
          <w:lang w:val="en-GB"/>
        </w:rPr>
        <w:t>Control channel multi-beam operation</w:t>
      </w:r>
      <w:r>
        <w:rPr>
          <w:lang w:val="en-GB"/>
        </w:rPr>
        <w:t>,</w:t>
      </w:r>
      <w:r w:rsidRPr="00016952">
        <w:rPr>
          <w:lang w:val="en-GB"/>
        </w:rPr>
        <w:t xml:space="preserve">” </w:t>
      </w:r>
      <w:r w:rsidRPr="009D2B94">
        <w:rPr>
          <w:lang w:val="en-GB"/>
        </w:rPr>
        <w:t>3GPP TSG</w:t>
      </w:r>
      <w:r>
        <w:rPr>
          <w:lang w:val="en-GB"/>
        </w:rPr>
        <w:t xml:space="preserve"> RAN WG1 Meeting #88bis, </w:t>
      </w:r>
      <w:r w:rsidRPr="00D418A7">
        <w:rPr>
          <w:lang w:val="en-GB"/>
        </w:rPr>
        <w:t>Qualcomm Incorporated</w:t>
      </w:r>
      <w:r>
        <w:rPr>
          <w:lang w:val="en-GB"/>
        </w:rPr>
        <w:t>.</w:t>
      </w:r>
    </w:p>
    <w:p w14:paraId="5369DBC8" w14:textId="44434211" w:rsidR="009F1033" w:rsidRPr="009F1033" w:rsidRDefault="009F1033" w:rsidP="009F1033">
      <w:pPr>
        <w:pStyle w:val="References"/>
        <w:numPr>
          <w:ilvl w:val="0"/>
          <w:numId w:val="15"/>
        </w:numPr>
        <w:autoSpaceDE/>
        <w:autoSpaceDN/>
        <w:snapToGrid/>
        <w:spacing w:before="60"/>
        <w:rPr>
          <w:lang w:val="en-GB"/>
        </w:rPr>
      </w:pPr>
      <w:r>
        <w:rPr>
          <w:lang w:val="en-GB"/>
        </w:rPr>
        <w:t xml:space="preserve">R1-1713391, “On multi-TRP and multi-panel transmission,” </w:t>
      </w:r>
      <w:r w:rsidRPr="009F1033">
        <w:rPr>
          <w:lang w:val="en-GB"/>
        </w:rPr>
        <w:t>Qualcomm Incorporated</w:t>
      </w:r>
      <w:r>
        <w:rPr>
          <w:lang w:val="en-GB"/>
        </w:rPr>
        <w:t>.</w:t>
      </w:r>
    </w:p>
    <w:p w14:paraId="4A50D35A" w14:textId="77777777" w:rsidR="009D2B94" w:rsidRPr="00355CFA" w:rsidRDefault="009D2B94" w:rsidP="0054717E">
      <w:pPr>
        <w:pStyle w:val="References"/>
        <w:numPr>
          <w:ilvl w:val="0"/>
          <w:numId w:val="0"/>
        </w:numPr>
        <w:autoSpaceDE/>
        <w:autoSpaceDN/>
        <w:snapToGrid/>
        <w:spacing w:before="60"/>
        <w:ind w:left="360"/>
        <w:rPr>
          <w:lang w:val="en-GB"/>
        </w:rPr>
      </w:pPr>
    </w:p>
    <w:p w14:paraId="20A2DBDD" w14:textId="38BA163D" w:rsidR="00CC3011" w:rsidRPr="00CC3011" w:rsidRDefault="00CC3011" w:rsidP="00CC3011">
      <w:pPr>
        <w:rPr>
          <w:lang w:val="en-GB"/>
        </w:rPr>
      </w:pPr>
      <w:r w:rsidRPr="00CC3011">
        <w:rPr>
          <w:lang w:val="en-GB"/>
        </w:rPr>
        <w:t xml:space="preserve"> </w:t>
      </w:r>
    </w:p>
    <w:sectPr w:rsidR="00CC3011" w:rsidRPr="00CC3011"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726BF" w14:textId="77777777" w:rsidR="003B5183" w:rsidRDefault="003B5183">
      <w:r>
        <w:separator/>
      </w:r>
    </w:p>
  </w:endnote>
  <w:endnote w:type="continuationSeparator" w:id="0">
    <w:p w14:paraId="4916954D" w14:textId="77777777" w:rsidR="003B5183" w:rsidRDefault="003B5183">
      <w:r>
        <w:continuationSeparator/>
      </w:r>
    </w:p>
  </w:endnote>
  <w:endnote w:type="continuationNotice" w:id="1">
    <w:p w14:paraId="49A7260E" w14:textId="77777777" w:rsidR="003B5183" w:rsidRDefault="003B51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2653F6" w:rsidRDefault="002653F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653F6" w:rsidRDefault="002653F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2A340B76" w:rsidR="002653F6" w:rsidRDefault="002653F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16B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6BB4">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9D0CA" w14:textId="77777777" w:rsidR="003B5183" w:rsidRDefault="003B5183">
      <w:r>
        <w:separator/>
      </w:r>
    </w:p>
  </w:footnote>
  <w:footnote w:type="continuationSeparator" w:id="0">
    <w:p w14:paraId="7AFEA1AB" w14:textId="77777777" w:rsidR="003B5183" w:rsidRDefault="003B5183">
      <w:r>
        <w:continuationSeparator/>
      </w:r>
    </w:p>
  </w:footnote>
  <w:footnote w:type="continuationNotice" w:id="1">
    <w:p w14:paraId="5F606548" w14:textId="77777777" w:rsidR="003B5183" w:rsidRDefault="003B51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2653F6" w:rsidRDefault="002653F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255277"/>
    <w:multiLevelType w:val="hybridMultilevel"/>
    <w:tmpl w:val="3E825A3C"/>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22726F"/>
    <w:multiLevelType w:val="multilevel"/>
    <w:tmpl w:val="D122B6FE"/>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F8859B0"/>
    <w:multiLevelType w:val="hybridMultilevel"/>
    <w:tmpl w:val="F17227B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77D63E7"/>
    <w:multiLevelType w:val="hybridMultilevel"/>
    <w:tmpl w:val="C9FA0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5FC3B3E"/>
    <w:multiLevelType w:val="hybridMultilevel"/>
    <w:tmpl w:val="0ABACE04"/>
    <w:lvl w:ilvl="0" w:tplc="7708F114">
      <w:start w:val="5"/>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8BE08BC"/>
    <w:multiLevelType w:val="hybridMultilevel"/>
    <w:tmpl w:val="4D308642"/>
    <w:lvl w:ilvl="0" w:tplc="E13A05E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15"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6" w15:restartNumberingAfterBreak="0">
    <w:nsid w:val="7B8A2CF7"/>
    <w:multiLevelType w:val="hybridMultilevel"/>
    <w:tmpl w:val="FD78B070"/>
    <w:lvl w:ilvl="0" w:tplc="3FACFD9A">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2"/>
  </w:num>
  <w:num w:numId="3">
    <w:abstractNumId w:val="8"/>
  </w:num>
  <w:num w:numId="4">
    <w:abstractNumId w:val="1"/>
  </w:num>
  <w:num w:numId="5">
    <w:abstractNumId w:val="9"/>
  </w:num>
  <w:num w:numId="6">
    <w:abstractNumId w:val="12"/>
  </w:num>
  <w:num w:numId="7">
    <w:abstractNumId w:val="7"/>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5"/>
  </w:num>
  <w:num w:numId="11">
    <w:abstractNumId w:val="4"/>
  </w:num>
  <w:num w:numId="12">
    <w:abstractNumId w:val="3"/>
  </w:num>
  <w:num w:numId="13">
    <w:abstractNumId w:val="11"/>
  </w:num>
  <w:num w:numId="14">
    <w:abstractNumId w:val="8"/>
    <w:lvlOverride w:ilvl="0">
      <w:startOverride w:val="1"/>
    </w:lvlOverride>
  </w:num>
  <w:num w:numId="15">
    <w:abstractNumId w:val="14"/>
  </w:num>
  <w:num w:numId="16">
    <w:abstractNumId w:val="16"/>
  </w:num>
  <w:num w:numId="17">
    <w:abstractNumId w:val="13"/>
  </w:num>
  <w:num w:numId="1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12"/>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95C"/>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2F"/>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1C77"/>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036"/>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ED"/>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1D3B"/>
    <w:rsid w:val="000B256B"/>
    <w:rsid w:val="000B32D4"/>
    <w:rsid w:val="000B38DA"/>
    <w:rsid w:val="000B3F37"/>
    <w:rsid w:val="000B4788"/>
    <w:rsid w:val="000B49D7"/>
    <w:rsid w:val="000B546F"/>
    <w:rsid w:val="000B6030"/>
    <w:rsid w:val="000B65BE"/>
    <w:rsid w:val="000B6BDF"/>
    <w:rsid w:val="000B71B6"/>
    <w:rsid w:val="000B7B2B"/>
    <w:rsid w:val="000B7D5E"/>
    <w:rsid w:val="000C0396"/>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9"/>
    <w:rsid w:val="000D46EE"/>
    <w:rsid w:val="000D4896"/>
    <w:rsid w:val="000D4DE6"/>
    <w:rsid w:val="000D5158"/>
    <w:rsid w:val="000D55EA"/>
    <w:rsid w:val="000D5965"/>
    <w:rsid w:val="000D59D6"/>
    <w:rsid w:val="000D5AB0"/>
    <w:rsid w:val="000D5AD1"/>
    <w:rsid w:val="000D5E4D"/>
    <w:rsid w:val="000D6E27"/>
    <w:rsid w:val="000D6E96"/>
    <w:rsid w:val="000D708E"/>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1D"/>
    <w:rsid w:val="000E7F51"/>
    <w:rsid w:val="000F00D8"/>
    <w:rsid w:val="000F095B"/>
    <w:rsid w:val="000F13C4"/>
    <w:rsid w:val="000F13D7"/>
    <w:rsid w:val="000F1408"/>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11A"/>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071"/>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AF1"/>
    <w:rsid w:val="00140E5E"/>
    <w:rsid w:val="001410AA"/>
    <w:rsid w:val="001410F1"/>
    <w:rsid w:val="001418FE"/>
    <w:rsid w:val="00141E46"/>
    <w:rsid w:val="00141ED1"/>
    <w:rsid w:val="00141F72"/>
    <w:rsid w:val="0014206B"/>
    <w:rsid w:val="00142093"/>
    <w:rsid w:val="001424F8"/>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42B"/>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87951"/>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487"/>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BA0"/>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5F6A"/>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4A9"/>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191"/>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2D1"/>
    <w:rsid w:val="002314EE"/>
    <w:rsid w:val="00231740"/>
    <w:rsid w:val="00231B71"/>
    <w:rsid w:val="00231D67"/>
    <w:rsid w:val="00232149"/>
    <w:rsid w:val="00232191"/>
    <w:rsid w:val="0023287C"/>
    <w:rsid w:val="00232E9D"/>
    <w:rsid w:val="0023324F"/>
    <w:rsid w:val="0023351A"/>
    <w:rsid w:val="0023388A"/>
    <w:rsid w:val="0023406E"/>
    <w:rsid w:val="002344C8"/>
    <w:rsid w:val="002349C5"/>
    <w:rsid w:val="00234B73"/>
    <w:rsid w:val="00234FE9"/>
    <w:rsid w:val="00235581"/>
    <w:rsid w:val="00235698"/>
    <w:rsid w:val="00235CD8"/>
    <w:rsid w:val="00236443"/>
    <w:rsid w:val="00236F71"/>
    <w:rsid w:val="002373FC"/>
    <w:rsid w:val="00237C6F"/>
    <w:rsid w:val="00237D22"/>
    <w:rsid w:val="00240171"/>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2F2A"/>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B83"/>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3F6"/>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51A"/>
    <w:rsid w:val="00286631"/>
    <w:rsid w:val="00286CAF"/>
    <w:rsid w:val="00286F76"/>
    <w:rsid w:val="00287376"/>
    <w:rsid w:val="002877DE"/>
    <w:rsid w:val="00287821"/>
    <w:rsid w:val="00287C28"/>
    <w:rsid w:val="00287C39"/>
    <w:rsid w:val="00290254"/>
    <w:rsid w:val="00290C83"/>
    <w:rsid w:val="002911C0"/>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C1"/>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0E0D"/>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2C7"/>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AEF"/>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46CE"/>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57"/>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68"/>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406"/>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523"/>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1E9"/>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5CFA"/>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87CD0"/>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130"/>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4E4"/>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183"/>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CB4"/>
    <w:rsid w:val="003D0D75"/>
    <w:rsid w:val="003D1634"/>
    <w:rsid w:val="003D1F11"/>
    <w:rsid w:val="003D22AC"/>
    <w:rsid w:val="003D2339"/>
    <w:rsid w:val="003D26A3"/>
    <w:rsid w:val="003D26AA"/>
    <w:rsid w:val="003D2AF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904"/>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70B"/>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CA1"/>
    <w:rsid w:val="00404D4D"/>
    <w:rsid w:val="004056E6"/>
    <w:rsid w:val="00405898"/>
    <w:rsid w:val="00405A9F"/>
    <w:rsid w:val="00405D95"/>
    <w:rsid w:val="00405F90"/>
    <w:rsid w:val="00406108"/>
    <w:rsid w:val="00406412"/>
    <w:rsid w:val="00406D4A"/>
    <w:rsid w:val="00406F4B"/>
    <w:rsid w:val="00406FBD"/>
    <w:rsid w:val="004073B0"/>
    <w:rsid w:val="00407612"/>
    <w:rsid w:val="0041021D"/>
    <w:rsid w:val="0041029D"/>
    <w:rsid w:val="004102A7"/>
    <w:rsid w:val="00411230"/>
    <w:rsid w:val="004116C3"/>
    <w:rsid w:val="0041177E"/>
    <w:rsid w:val="004118C9"/>
    <w:rsid w:val="0041249C"/>
    <w:rsid w:val="00412697"/>
    <w:rsid w:val="00412CC1"/>
    <w:rsid w:val="00413369"/>
    <w:rsid w:val="004143DC"/>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7A1"/>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355"/>
    <w:rsid w:val="00445513"/>
    <w:rsid w:val="00445625"/>
    <w:rsid w:val="00445907"/>
    <w:rsid w:val="00445CFF"/>
    <w:rsid w:val="00445FC0"/>
    <w:rsid w:val="004462AF"/>
    <w:rsid w:val="00446424"/>
    <w:rsid w:val="0044662A"/>
    <w:rsid w:val="004478FA"/>
    <w:rsid w:val="00450778"/>
    <w:rsid w:val="00450D3B"/>
    <w:rsid w:val="0045169D"/>
    <w:rsid w:val="004518D5"/>
    <w:rsid w:val="00451A36"/>
    <w:rsid w:val="00451B06"/>
    <w:rsid w:val="00451BEB"/>
    <w:rsid w:val="004520FE"/>
    <w:rsid w:val="004527C0"/>
    <w:rsid w:val="0045303B"/>
    <w:rsid w:val="00453456"/>
    <w:rsid w:val="00453871"/>
    <w:rsid w:val="00453DEF"/>
    <w:rsid w:val="004540AC"/>
    <w:rsid w:val="004543E4"/>
    <w:rsid w:val="004548E5"/>
    <w:rsid w:val="00454ACD"/>
    <w:rsid w:val="00454F08"/>
    <w:rsid w:val="00454F85"/>
    <w:rsid w:val="00455105"/>
    <w:rsid w:val="00455B32"/>
    <w:rsid w:val="00455DED"/>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AE1"/>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94F"/>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851"/>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BE5"/>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9FD"/>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23"/>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E7F7E"/>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2EB5"/>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7E"/>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37C"/>
    <w:rsid w:val="00556680"/>
    <w:rsid w:val="005567BF"/>
    <w:rsid w:val="005569D2"/>
    <w:rsid w:val="00556F3D"/>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6C5A"/>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718"/>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C39"/>
    <w:rsid w:val="005B6FAE"/>
    <w:rsid w:val="005B703E"/>
    <w:rsid w:val="005B7824"/>
    <w:rsid w:val="005B7A4C"/>
    <w:rsid w:val="005B7A5C"/>
    <w:rsid w:val="005B7F8D"/>
    <w:rsid w:val="005C001C"/>
    <w:rsid w:val="005C01BD"/>
    <w:rsid w:val="005C0625"/>
    <w:rsid w:val="005C0904"/>
    <w:rsid w:val="005C09BF"/>
    <w:rsid w:val="005C0D61"/>
    <w:rsid w:val="005C0DDE"/>
    <w:rsid w:val="005C1225"/>
    <w:rsid w:val="005C132F"/>
    <w:rsid w:val="005C1752"/>
    <w:rsid w:val="005C1BF2"/>
    <w:rsid w:val="005C2144"/>
    <w:rsid w:val="005C2157"/>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2853"/>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689"/>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2E7"/>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299"/>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0EFF"/>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706"/>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E0E"/>
    <w:rsid w:val="006C1F77"/>
    <w:rsid w:val="006C22BD"/>
    <w:rsid w:val="006C2604"/>
    <w:rsid w:val="006C2B49"/>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3E9F"/>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6B49"/>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BB4"/>
    <w:rsid w:val="00716FC0"/>
    <w:rsid w:val="00717267"/>
    <w:rsid w:val="00717890"/>
    <w:rsid w:val="007178EE"/>
    <w:rsid w:val="00720759"/>
    <w:rsid w:val="00720A0C"/>
    <w:rsid w:val="0072113B"/>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5F64"/>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C39"/>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5BB"/>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21AD"/>
    <w:rsid w:val="00772232"/>
    <w:rsid w:val="007728F4"/>
    <w:rsid w:val="00772D15"/>
    <w:rsid w:val="00772DC3"/>
    <w:rsid w:val="007733C4"/>
    <w:rsid w:val="00773EC7"/>
    <w:rsid w:val="007743A1"/>
    <w:rsid w:val="007744EF"/>
    <w:rsid w:val="00775BAA"/>
    <w:rsid w:val="00775EFD"/>
    <w:rsid w:val="00775F11"/>
    <w:rsid w:val="00775F7A"/>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68"/>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66"/>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EBF"/>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78E"/>
    <w:rsid w:val="007D4834"/>
    <w:rsid w:val="007D4838"/>
    <w:rsid w:val="007D4956"/>
    <w:rsid w:val="007D4FF2"/>
    <w:rsid w:val="007D5033"/>
    <w:rsid w:val="007D512C"/>
    <w:rsid w:val="007D526F"/>
    <w:rsid w:val="007D5CFA"/>
    <w:rsid w:val="007D5E36"/>
    <w:rsid w:val="007D6310"/>
    <w:rsid w:val="007D673F"/>
    <w:rsid w:val="007D68F4"/>
    <w:rsid w:val="007D6906"/>
    <w:rsid w:val="007D6999"/>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7E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295"/>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CC1"/>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53"/>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27D90"/>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623"/>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1F"/>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7DA"/>
    <w:rsid w:val="008678F0"/>
    <w:rsid w:val="00870018"/>
    <w:rsid w:val="008706FE"/>
    <w:rsid w:val="00870793"/>
    <w:rsid w:val="00870869"/>
    <w:rsid w:val="00870A1C"/>
    <w:rsid w:val="00870A54"/>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97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5C28"/>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459"/>
    <w:rsid w:val="008B1651"/>
    <w:rsid w:val="008B175A"/>
    <w:rsid w:val="008B182D"/>
    <w:rsid w:val="008B18CE"/>
    <w:rsid w:val="008B2052"/>
    <w:rsid w:val="008B21F5"/>
    <w:rsid w:val="008B269F"/>
    <w:rsid w:val="008B2A2E"/>
    <w:rsid w:val="008B2AB2"/>
    <w:rsid w:val="008B2D1D"/>
    <w:rsid w:val="008B2DEB"/>
    <w:rsid w:val="008B33EF"/>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277"/>
    <w:rsid w:val="008C2135"/>
    <w:rsid w:val="008C2236"/>
    <w:rsid w:val="008C2426"/>
    <w:rsid w:val="008C2453"/>
    <w:rsid w:val="008C2652"/>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0F"/>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5BC"/>
    <w:rsid w:val="00913AF7"/>
    <w:rsid w:val="00913B67"/>
    <w:rsid w:val="00913F4C"/>
    <w:rsid w:val="0091404B"/>
    <w:rsid w:val="00914215"/>
    <w:rsid w:val="0091423A"/>
    <w:rsid w:val="00914445"/>
    <w:rsid w:val="00914A5D"/>
    <w:rsid w:val="00915032"/>
    <w:rsid w:val="00915143"/>
    <w:rsid w:val="009151C0"/>
    <w:rsid w:val="009151E5"/>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140"/>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452"/>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72"/>
    <w:rsid w:val="00944AF4"/>
    <w:rsid w:val="00945E49"/>
    <w:rsid w:val="009462D8"/>
    <w:rsid w:val="0094634D"/>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3F52"/>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49"/>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5C53"/>
    <w:rsid w:val="00996A8B"/>
    <w:rsid w:val="00996CD4"/>
    <w:rsid w:val="0099731A"/>
    <w:rsid w:val="009975D0"/>
    <w:rsid w:val="009979D6"/>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2A7"/>
    <w:rsid w:val="009B1765"/>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B90"/>
    <w:rsid w:val="009D0C8D"/>
    <w:rsid w:val="009D1342"/>
    <w:rsid w:val="009D15EA"/>
    <w:rsid w:val="009D1ED3"/>
    <w:rsid w:val="009D1F69"/>
    <w:rsid w:val="009D2118"/>
    <w:rsid w:val="009D22EA"/>
    <w:rsid w:val="009D2453"/>
    <w:rsid w:val="009D2B94"/>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B0C"/>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033"/>
    <w:rsid w:val="009F187B"/>
    <w:rsid w:val="009F1933"/>
    <w:rsid w:val="009F2A94"/>
    <w:rsid w:val="009F2AAF"/>
    <w:rsid w:val="009F2E7E"/>
    <w:rsid w:val="009F3A4B"/>
    <w:rsid w:val="009F4196"/>
    <w:rsid w:val="009F41E1"/>
    <w:rsid w:val="009F4375"/>
    <w:rsid w:val="009F43A2"/>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0BC1"/>
    <w:rsid w:val="00A00BD5"/>
    <w:rsid w:val="00A01006"/>
    <w:rsid w:val="00A02B26"/>
    <w:rsid w:val="00A02BEC"/>
    <w:rsid w:val="00A02C96"/>
    <w:rsid w:val="00A02D52"/>
    <w:rsid w:val="00A02FBC"/>
    <w:rsid w:val="00A03A1D"/>
    <w:rsid w:val="00A043B9"/>
    <w:rsid w:val="00A04541"/>
    <w:rsid w:val="00A04874"/>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0A4"/>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C95"/>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8AA"/>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2B0"/>
    <w:rsid w:val="00AB53BA"/>
    <w:rsid w:val="00AB57AD"/>
    <w:rsid w:val="00AB583A"/>
    <w:rsid w:val="00AB61A2"/>
    <w:rsid w:val="00AB642C"/>
    <w:rsid w:val="00AB644A"/>
    <w:rsid w:val="00AB6458"/>
    <w:rsid w:val="00AB6CA0"/>
    <w:rsid w:val="00AB76D5"/>
    <w:rsid w:val="00AB7787"/>
    <w:rsid w:val="00AB78AC"/>
    <w:rsid w:val="00AB7913"/>
    <w:rsid w:val="00AC0169"/>
    <w:rsid w:val="00AC026A"/>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B6A"/>
    <w:rsid w:val="00AE6D12"/>
    <w:rsid w:val="00AE723D"/>
    <w:rsid w:val="00AE7751"/>
    <w:rsid w:val="00AE780C"/>
    <w:rsid w:val="00AE7992"/>
    <w:rsid w:val="00AE7BBF"/>
    <w:rsid w:val="00AE7C98"/>
    <w:rsid w:val="00AF0311"/>
    <w:rsid w:val="00AF0FFE"/>
    <w:rsid w:val="00AF1414"/>
    <w:rsid w:val="00AF15C3"/>
    <w:rsid w:val="00AF19CD"/>
    <w:rsid w:val="00AF1D24"/>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7F7"/>
    <w:rsid w:val="00B70A49"/>
    <w:rsid w:val="00B70EDB"/>
    <w:rsid w:val="00B717BF"/>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43E"/>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BA3"/>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1DBA"/>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038"/>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850"/>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1C1A"/>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17"/>
    <w:rsid w:val="00C42784"/>
    <w:rsid w:val="00C429E1"/>
    <w:rsid w:val="00C439F0"/>
    <w:rsid w:val="00C43CE7"/>
    <w:rsid w:val="00C43D08"/>
    <w:rsid w:val="00C44189"/>
    <w:rsid w:val="00C447FB"/>
    <w:rsid w:val="00C44F96"/>
    <w:rsid w:val="00C44FF2"/>
    <w:rsid w:val="00C4587D"/>
    <w:rsid w:val="00C45C66"/>
    <w:rsid w:val="00C469D4"/>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028"/>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077"/>
    <w:rsid w:val="00C67F34"/>
    <w:rsid w:val="00C70366"/>
    <w:rsid w:val="00C7040D"/>
    <w:rsid w:val="00C70751"/>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C6D"/>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DD"/>
    <w:rsid w:val="00CB6328"/>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011"/>
    <w:rsid w:val="00CC32B0"/>
    <w:rsid w:val="00CC3D8D"/>
    <w:rsid w:val="00CC3E8C"/>
    <w:rsid w:val="00CC400F"/>
    <w:rsid w:val="00CC4365"/>
    <w:rsid w:val="00CC4C5E"/>
    <w:rsid w:val="00CC4CD7"/>
    <w:rsid w:val="00CC4EF6"/>
    <w:rsid w:val="00CC4F58"/>
    <w:rsid w:val="00CC57AE"/>
    <w:rsid w:val="00CC606C"/>
    <w:rsid w:val="00CC60F6"/>
    <w:rsid w:val="00CC620F"/>
    <w:rsid w:val="00CC728B"/>
    <w:rsid w:val="00CC7356"/>
    <w:rsid w:val="00CC74D5"/>
    <w:rsid w:val="00CC7A6D"/>
    <w:rsid w:val="00CC7DF5"/>
    <w:rsid w:val="00CC7E6E"/>
    <w:rsid w:val="00CD04B6"/>
    <w:rsid w:val="00CD0740"/>
    <w:rsid w:val="00CD0768"/>
    <w:rsid w:val="00CD0B87"/>
    <w:rsid w:val="00CD0FBC"/>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93D"/>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751"/>
    <w:rsid w:val="00D00B22"/>
    <w:rsid w:val="00D00FCA"/>
    <w:rsid w:val="00D01752"/>
    <w:rsid w:val="00D017EE"/>
    <w:rsid w:val="00D01C73"/>
    <w:rsid w:val="00D02369"/>
    <w:rsid w:val="00D02683"/>
    <w:rsid w:val="00D02AFC"/>
    <w:rsid w:val="00D02C36"/>
    <w:rsid w:val="00D02E17"/>
    <w:rsid w:val="00D02F2F"/>
    <w:rsid w:val="00D0321D"/>
    <w:rsid w:val="00D036E8"/>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6BAA"/>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14B"/>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3D9C"/>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8A7"/>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6D5"/>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4D"/>
    <w:rsid w:val="00D671EF"/>
    <w:rsid w:val="00D67888"/>
    <w:rsid w:val="00D7010A"/>
    <w:rsid w:val="00D7040B"/>
    <w:rsid w:val="00D7066F"/>
    <w:rsid w:val="00D70B5B"/>
    <w:rsid w:val="00D70F5E"/>
    <w:rsid w:val="00D70F87"/>
    <w:rsid w:val="00D7123A"/>
    <w:rsid w:val="00D71707"/>
    <w:rsid w:val="00D719A4"/>
    <w:rsid w:val="00D71BD5"/>
    <w:rsid w:val="00D72265"/>
    <w:rsid w:val="00D72BDC"/>
    <w:rsid w:val="00D73118"/>
    <w:rsid w:val="00D73347"/>
    <w:rsid w:val="00D7364D"/>
    <w:rsid w:val="00D73A3C"/>
    <w:rsid w:val="00D73A6B"/>
    <w:rsid w:val="00D73DAD"/>
    <w:rsid w:val="00D73E0D"/>
    <w:rsid w:val="00D74461"/>
    <w:rsid w:val="00D74AF7"/>
    <w:rsid w:val="00D74F55"/>
    <w:rsid w:val="00D7505F"/>
    <w:rsid w:val="00D75199"/>
    <w:rsid w:val="00D75277"/>
    <w:rsid w:val="00D755A0"/>
    <w:rsid w:val="00D75843"/>
    <w:rsid w:val="00D758A1"/>
    <w:rsid w:val="00D75E85"/>
    <w:rsid w:val="00D75F68"/>
    <w:rsid w:val="00D7643F"/>
    <w:rsid w:val="00D769F0"/>
    <w:rsid w:val="00D76C0F"/>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01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365"/>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3C3"/>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BA4"/>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05B5"/>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3CD"/>
    <w:rsid w:val="00DD6C70"/>
    <w:rsid w:val="00DD6DA2"/>
    <w:rsid w:val="00DD761C"/>
    <w:rsid w:val="00DD7C06"/>
    <w:rsid w:val="00DE0171"/>
    <w:rsid w:val="00DE0333"/>
    <w:rsid w:val="00DE0558"/>
    <w:rsid w:val="00DE067E"/>
    <w:rsid w:val="00DE088E"/>
    <w:rsid w:val="00DE128B"/>
    <w:rsid w:val="00DE14DB"/>
    <w:rsid w:val="00DE1563"/>
    <w:rsid w:val="00DE1799"/>
    <w:rsid w:val="00DE21CF"/>
    <w:rsid w:val="00DE26C7"/>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2243"/>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5EF3"/>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50E"/>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036"/>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5FD2"/>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88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D06"/>
    <w:rsid w:val="00EA7E15"/>
    <w:rsid w:val="00EA7E9E"/>
    <w:rsid w:val="00EA7EF5"/>
    <w:rsid w:val="00EA7F1F"/>
    <w:rsid w:val="00EB02CB"/>
    <w:rsid w:val="00EB05DC"/>
    <w:rsid w:val="00EB11F6"/>
    <w:rsid w:val="00EB1705"/>
    <w:rsid w:val="00EB2435"/>
    <w:rsid w:val="00EB269A"/>
    <w:rsid w:val="00EB2814"/>
    <w:rsid w:val="00EB296A"/>
    <w:rsid w:val="00EB3495"/>
    <w:rsid w:val="00EB34D9"/>
    <w:rsid w:val="00EB3828"/>
    <w:rsid w:val="00EB3953"/>
    <w:rsid w:val="00EB3C79"/>
    <w:rsid w:val="00EB3C7B"/>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0B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9BE"/>
    <w:rsid w:val="00ED0DE8"/>
    <w:rsid w:val="00ED0EB9"/>
    <w:rsid w:val="00ED1410"/>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5F02"/>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5C4"/>
    <w:rsid w:val="00EE3DCB"/>
    <w:rsid w:val="00EE4825"/>
    <w:rsid w:val="00EE50A7"/>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6F4"/>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0C6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754"/>
    <w:rsid w:val="00F369FF"/>
    <w:rsid w:val="00F377A2"/>
    <w:rsid w:val="00F37922"/>
    <w:rsid w:val="00F37AEF"/>
    <w:rsid w:val="00F37DC6"/>
    <w:rsid w:val="00F41AFE"/>
    <w:rsid w:val="00F41D1F"/>
    <w:rsid w:val="00F42910"/>
    <w:rsid w:val="00F42C2B"/>
    <w:rsid w:val="00F4323C"/>
    <w:rsid w:val="00F44833"/>
    <w:rsid w:val="00F450D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975"/>
    <w:rsid w:val="00F54B39"/>
    <w:rsid w:val="00F553D1"/>
    <w:rsid w:val="00F558E3"/>
    <w:rsid w:val="00F55AC5"/>
    <w:rsid w:val="00F55F93"/>
    <w:rsid w:val="00F55F98"/>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C9B"/>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325"/>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2A4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9F2"/>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A7DDE"/>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1DB"/>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3C4"/>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1FB"/>
    <w:rsid w:val="00FE22FE"/>
    <w:rsid w:val="00FE2B7B"/>
    <w:rsid w:val="00FE3100"/>
    <w:rsid w:val="00FE341F"/>
    <w:rsid w:val="00FE3768"/>
    <w:rsid w:val="00FE3D47"/>
    <w:rsid w:val="00FE42C4"/>
    <w:rsid w:val="00FE47B0"/>
    <w:rsid w:val="00FE5172"/>
    <w:rsid w:val="00FE5236"/>
    <w:rsid w:val="00FE5977"/>
    <w:rsid w:val="00FE5CB2"/>
    <w:rsid w:val="00FE65DB"/>
    <w:rsid w:val="00FE6DEC"/>
    <w:rsid w:val="00FE74E2"/>
    <w:rsid w:val="00FE74FC"/>
    <w:rsid w:val="00FE7504"/>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F2EB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CC301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CC301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3260395">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345547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625059">
      <w:bodyDiv w:val="1"/>
      <w:marLeft w:val="0"/>
      <w:marRight w:val="0"/>
      <w:marTop w:val="0"/>
      <w:marBottom w:val="0"/>
      <w:divBdr>
        <w:top w:val="none" w:sz="0" w:space="0" w:color="auto"/>
        <w:left w:val="none" w:sz="0" w:space="0" w:color="auto"/>
        <w:bottom w:val="none" w:sz="0" w:space="0" w:color="auto"/>
        <w:right w:val="none" w:sz="0" w:space="0" w:color="auto"/>
      </w:divBdr>
      <w:divsChild>
        <w:div w:id="2136562424">
          <w:marLeft w:val="547"/>
          <w:marRight w:val="0"/>
          <w:marTop w:val="115"/>
          <w:marBottom w:val="0"/>
          <w:divBdr>
            <w:top w:val="none" w:sz="0" w:space="0" w:color="auto"/>
            <w:left w:val="none" w:sz="0" w:space="0" w:color="auto"/>
            <w:bottom w:val="none" w:sz="0" w:space="0" w:color="auto"/>
            <w:right w:val="none" w:sz="0" w:space="0" w:color="auto"/>
          </w:divBdr>
        </w:div>
        <w:div w:id="1649280537">
          <w:marLeft w:val="547"/>
          <w:marRight w:val="0"/>
          <w:marTop w:val="115"/>
          <w:marBottom w:val="0"/>
          <w:divBdr>
            <w:top w:val="none" w:sz="0" w:space="0" w:color="auto"/>
            <w:left w:val="none" w:sz="0" w:space="0" w:color="auto"/>
            <w:bottom w:val="none" w:sz="0" w:space="0" w:color="auto"/>
            <w:right w:val="none" w:sz="0" w:space="0" w:color="auto"/>
          </w:divBdr>
        </w:div>
        <w:div w:id="452989557">
          <w:marLeft w:val="1166"/>
          <w:marRight w:val="0"/>
          <w:marTop w:val="96"/>
          <w:marBottom w:val="0"/>
          <w:divBdr>
            <w:top w:val="none" w:sz="0" w:space="0" w:color="auto"/>
            <w:left w:val="none" w:sz="0" w:space="0" w:color="auto"/>
            <w:bottom w:val="none" w:sz="0" w:space="0" w:color="auto"/>
            <w:right w:val="none" w:sz="0" w:space="0" w:color="auto"/>
          </w:divBdr>
        </w:div>
        <w:div w:id="1342197610">
          <w:marLeft w:val="1627"/>
          <w:marRight w:val="0"/>
          <w:marTop w:val="86"/>
          <w:marBottom w:val="0"/>
          <w:divBdr>
            <w:top w:val="none" w:sz="0" w:space="0" w:color="auto"/>
            <w:left w:val="none" w:sz="0" w:space="0" w:color="auto"/>
            <w:bottom w:val="none" w:sz="0" w:space="0" w:color="auto"/>
            <w:right w:val="none" w:sz="0" w:space="0" w:color="auto"/>
          </w:divBdr>
        </w:div>
        <w:div w:id="957759538">
          <w:marLeft w:val="2074"/>
          <w:marRight w:val="0"/>
          <w:marTop w:val="77"/>
          <w:marBottom w:val="0"/>
          <w:divBdr>
            <w:top w:val="none" w:sz="0" w:space="0" w:color="auto"/>
            <w:left w:val="none" w:sz="0" w:space="0" w:color="auto"/>
            <w:bottom w:val="none" w:sz="0" w:space="0" w:color="auto"/>
            <w:right w:val="none" w:sz="0" w:space="0" w:color="auto"/>
          </w:divBdr>
        </w:div>
        <w:div w:id="668096179">
          <w:marLeft w:val="2074"/>
          <w:marRight w:val="0"/>
          <w:marTop w:val="77"/>
          <w:marBottom w:val="0"/>
          <w:divBdr>
            <w:top w:val="none" w:sz="0" w:space="0" w:color="auto"/>
            <w:left w:val="none" w:sz="0" w:space="0" w:color="auto"/>
            <w:bottom w:val="none" w:sz="0" w:space="0" w:color="auto"/>
            <w:right w:val="none" w:sz="0" w:space="0" w:color="auto"/>
          </w:divBdr>
        </w:div>
        <w:div w:id="1077823723">
          <w:marLeft w:val="2520"/>
          <w:marRight w:val="0"/>
          <w:marTop w:val="53"/>
          <w:marBottom w:val="0"/>
          <w:divBdr>
            <w:top w:val="none" w:sz="0" w:space="0" w:color="auto"/>
            <w:left w:val="none" w:sz="0" w:space="0" w:color="auto"/>
            <w:bottom w:val="none" w:sz="0" w:space="0" w:color="auto"/>
            <w:right w:val="none" w:sz="0" w:space="0" w:color="auto"/>
          </w:divBdr>
        </w:div>
        <w:div w:id="1464614741">
          <w:marLeft w:val="1166"/>
          <w:marRight w:val="0"/>
          <w:marTop w:val="96"/>
          <w:marBottom w:val="0"/>
          <w:divBdr>
            <w:top w:val="none" w:sz="0" w:space="0" w:color="auto"/>
            <w:left w:val="none" w:sz="0" w:space="0" w:color="auto"/>
            <w:bottom w:val="none" w:sz="0" w:space="0" w:color="auto"/>
            <w:right w:val="none" w:sz="0" w:space="0" w:color="auto"/>
          </w:divBdr>
        </w:div>
        <w:div w:id="1314214708">
          <w:marLeft w:val="1166"/>
          <w:marRight w:val="0"/>
          <w:marTop w:val="96"/>
          <w:marBottom w:val="0"/>
          <w:divBdr>
            <w:top w:val="none" w:sz="0" w:space="0" w:color="auto"/>
            <w:left w:val="none" w:sz="0" w:space="0" w:color="auto"/>
            <w:bottom w:val="none" w:sz="0" w:space="0" w:color="auto"/>
            <w:right w:val="none" w:sz="0" w:space="0" w:color="auto"/>
          </w:divBdr>
        </w:div>
        <w:div w:id="1066564915">
          <w:marLeft w:val="1166"/>
          <w:marRight w:val="0"/>
          <w:marTop w:val="96"/>
          <w:marBottom w:val="0"/>
          <w:divBdr>
            <w:top w:val="none" w:sz="0" w:space="0" w:color="auto"/>
            <w:left w:val="none" w:sz="0" w:space="0" w:color="auto"/>
            <w:bottom w:val="none" w:sz="0" w:space="0" w:color="auto"/>
            <w:right w:val="none" w:sz="0" w:space="0" w:color="auto"/>
          </w:divBdr>
        </w:div>
        <w:div w:id="1950963385">
          <w:marLeft w:val="547"/>
          <w:marRight w:val="0"/>
          <w:marTop w:val="115"/>
          <w:marBottom w:val="0"/>
          <w:divBdr>
            <w:top w:val="none" w:sz="0" w:space="0" w:color="auto"/>
            <w:left w:val="none" w:sz="0" w:space="0" w:color="auto"/>
            <w:bottom w:val="none" w:sz="0" w:space="0" w:color="auto"/>
            <w:right w:val="none" w:sz="0" w:space="0" w:color="auto"/>
          </w:divBdr>
        </w:div>
        <w:div w:id="1344014553">
          <w:marLeft w:val="1166"/>
          <w:marRight w:val="0"/>
          <w:marTop w:val="86"/>
          <w:marBottom w:val="0"/>
          <w:divBdr>
            <w:top w:val="none" w:sz="0" w:space="0" w:color="auto"/>
            <w:left w:val="none" w:sz="0" w:space="0" w:color="auto"/>
            <w:bottom w:val="none" w:sz="0" w:space="0" w:color="auto"/>
            <w:right w:val="none" w:sz="0" w:space="0" w:color="auto"/>
          </w:divBdr>
        </w:div>
        <w:div w:id="1133015632">
          <w:marLeft w:val="1166"/>
          <w:marRight w:val="0"/>
          <w:marTop w:val="86"/>
          <w:marBottom w:val="0"/>
          <w:divBdr>
            <w:top w:val="none" w:sz="0" w:space="0" w:color="auto"/>
            <w:left w:val="none" w:sz="0" w:space="0" w:color="auto"/>
            <w:bottom w:val="none" w:sz="0" w:space="0" w:color="auto"/>
            <w:right w:val="none" w:sz="0" w:space="0" w:color="auto"/>
          </w:divBdr>
        </w:div>
        <w:div w:id="1438285043">
          <w:marLeft w:val="1166"/>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898158">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43377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9059663">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HR33RHYHUWRF-4-5661</_dlc_DocId>
    <_dlc_DocIdUrl xmlns="c06861ca-3f08-4d07-bff7-bb15bac121f4">
      <Url>https://projects.qualcomm.com/sites/pentari/_layouts/15/DocIdRedir.aspx?ID=HR33RHYHUWRF-4-5661</Url>
      <Description>HR33RHYHUWRF-4-5661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164A8B00-A407-4072-AAB2-808110CFF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2135</Words>
  <Characters>12173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On multi-TRP and multi-panel transmission</vt:lpstr>
    </vt:vector>
  </TitlesOfParts>
  <Company>Qualcomm Inc.</Company>
  <LinksUpToDate>false</LinksUpToDate>
  <CharactersWithSpaces>14280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multi-TRP and multi-panel transmission</dc:title>
  <dc:subject/>
  <dc:creator>Qualcomm Inc.</dc:creator>
  <cp:keywords/>
  <dc:description/>
  <cp:lastModifiedBy>Xiao feng Wang</cp:lastModifiedBy>
  <cp:revision>4</cp:revision>
  <cp:lastPrinted>2014-11-07T05:38:00Z</cp:lastPrinted>
  <dcterms:created xsi:type="dcterms:W3CDTF">2017-09-11T22:22:00Z</dcterms:created>
  <dcterms:modified xsi:type="dcterms:W3CDTF">2017-09-11T22:22:00Z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527646377</vt:i4>
  </property>
  <property fmtid="{D5CDD505-2E9C-101B-9397-08002B2CF9AE}" pid="3" name="_NewReviewCycle">
    <vt:lpwstr/>
  </property>
  <property fmtid="{D5CDD505-2E9C-101B-9397-08002B2CF9AE}" pid="4" name="_EmailSubject">
    <vt:lpwstr>Minutes. RE: contribution on Multi-TRP and multi-panel transmission </vt:lpwstr>
  </property>
  <property fmtid="{D5CDD505-2E9C-101B-9397-08002B2CF9AE}" pid="5" name="_AuthorEmail">
    <vt:lpwstr>wangxiao@qti.qualcomm.com</vt:lpwstr>
  </property>
  <property fmtid="{D5CDD505-2E9C-101B-9397-08002B2CF9AE}" pid="6" name="_AuthorEmailDisplayName">
    <vt:lpwstr>Xiaofeng Wang</vt:lpwstr>
  </property>
  <property fmtid="{D5CDD505-2E9C-101B-9397-08002B2CF9AE}" pid="7" name="_PreviousAdHocReviewCycleID">
    <vt:i4>-1791188320</vt:i4>
  </property>
  <property fmtid="{D5CDD505-2E9C-101B-9397-08002B2CF9AE}" pid="8" name="ContentTypeId">
    <vt:lpwstr>0x010100BC29BFD66497B943AA3B102F0C7B1355</vt:lpwstr>
  </property>
  <property fmtid="{D5CDD505-2E9C-101B-9397-08002B2CF9AE}" pid="9" name="_dlc_DocIdItemGuid">
    <vt:lpwstr>2d9b0a5e-1198-457c-b71d-113af92af606</vt:lpwstr>
  </property>
  <property fmtid="{D5CDD505-2E9C-101B-9397-08002B2CF9AE}" pid="10" name="_ReviewingToolsShownOnce">
    <vt:lpwstr/>
  </property>
</Properties>
</file>